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2E8" w:rsidRPr="00F70DF4" w:rsidRDefault="004762E8">
      <w:pPr>
        <w:rPr>
          <w:sz w:val="32"/>
          <w:lang w:val="es-CL"/>
        </w:rPr>
      </w:pPr>
    </w:p>
    <w:p w:rsidR="00EB2817" w:rsidRPr="00F70DF4" w:rsidRDefault="00EB2817">
      <w:pPr>
        <w:rPr>
          <w:sz w:val="32"/>
          <w:lang w:val="es-CL"/>
        </w:rPr>
      </w:pPr>
    </w:p>
    <w:p w:rsidR="00EB2817" w:rsidRPr="00F70DF4" w:rsidRDefault="00EB2817">
      <w:pPr>
        <w:rPr>
          <w:sz w:val="32"/>
          <w:lang w:val="es-CL"/>
        </w:rPr>
      </w:pPr>
    </w:p>
    <w:p w:rsidR="00EB2817" w:rsidRPr="00F70DF4" w:rsidRDefault="00EB2817">
      <w:pPr>
        <w:rPr>
          <w:sz w:val="32"/>
          <w:lang w:val="es-CL"/>
        </w:rPr>
      </w:pPr>
    </w:p>
    <w:p w:rsidR="004762E8" w:rsidRPr="00F70DF4" w:rsidRDefault="004762E8">
      <w:pPr>
        <w:rPr>
          <w:sz w:val="32"/>
          <w:lang w:val="es-CL"/>
        </w:rPr>
      </w:pPr>
    </w:p>
    <w:p w:rsidR="00EB2817" w:rsidRPr="00F70DF4" w:rsidRDefault="00EB2817" w:rsidP="00EB2817">
      <w:pPr>
        <w:pStyle w:val="Citadestacada"/>
        <w:spacing w:before="0" w:after="0"/>
        <w:ind w:left="0" w:right="4"/>
        <w:rPr>
          <w:b/>
          <w:sz w:val="40"/>
          <w:szCs w:val="40"/>
          <w:lang w:val="es-CL"/>
        </w:rPr>
      </w:pPr>
      <w:r w:rsidRPr="00F70DF4">
        <w:rPr>
          <w:b/>
          <w:sz w:val="40"/>
          <w:szCs w:val="40"/>
          <w:lang w:val="es-CL"/>
        </w:rPr>
        <w:t>MINUTA</w:t>
      </w:r>
    </w:p>
    <w:p w:rsidR="00EB2817" w:rsidRPr="00F70DF4" w:rsidRDefault="00754DB3" w:rsidP="00EB2817">
      <w:pPr>
        <w:pStyle w:val="Citadestacada"/>
        <w:spacing w:before="0" w:after="0"/>
        <w:ind w:left="0" w:right="4"/>
        <w:rPr>
          <w:b/>
          <w:sz w:val="40"/>
          <w:szCs w:val="40"/>
          <w:lang w:val="es-CL"/>
        </w:rPr>
      </w:pPr>
      <w:r w:rsidRPr="00F70DF4">
        <w:rPr>
          <w:b/>
          <w:sz w:val="40"/>
          <w:szCs w:val="40"/>
          <w:lang w:val="es-CL"/>
        </w:rPr>
        <w:t>C</w:t>
      </w:r>
      <w:r w:rsidR="00EB2817" w:rsidRPr="00F70DF4">
        <w:rPr>
          <w:b/>
          <w:sz w:val="40"/>
          <w:szCs w:val="40"/>
          <w:lang w:val="es-CL"/>
        </w:rPr>
        <w:t>ruceros temporada 2015/2016</w:t>
      </w:r>
    </w:p>
    <w:p w:rsidR="004762E8" w:rsidRPr="00F70DF4" w:rsidRDefault="004762E8">
      <w:pPr>
        <w:rPr>
          <w:sz w:val="32"/>
          <w:lang w:val="es-CL"/>
        </w:rPr>
      </w:pPr>
    </w:p>
    <w:p w:rsidR="004762E8" w:rsidRPr="00F70DF4" w:rsidRDefault="004762E8">
      <w:pPr>
        <w:rPr>
          <w:sz w:val="32"/>
          <w:lang w:val="es-CL"/>
        </w:rPr>
      </w:pPr>
    </w:p>
    <w:p w:rsidR="00EB2817" w:rsidRPr="00F70DF4" w:rsidRDefault="00EB2817">
      <w:pPr>
        <w:rPr>
          <w:sz w:val="32"/>
          <w:lang w:val="es-CL"/>
        </w:rPr>
      </w:pPr>
    </w:p>
    <w:p w:rsidR="00EB2817" w:rsidRPr="00F70DF4" w:rsidRDefault="00EB2817">
      <w:pPr>
        <w:rPr>
          <w:sz w:val="32"/>
          <w:lang w:val="es-CL"/>
        </w:rPr>
      </w:pPr>
    </w:p>
    <w:p w:rsidR="004762E8" w:rsidRPr="00F70DF4" w:rsidRDefault="004762E8">
      <w:pPr>
        <w:rPr>
          <w:sz w:val="32"/>
          <w:lang w:val="es-CL"/>
        </w:rPr>
      </w:pPr>
    </w:p>
    <w:p w:rsidR="004762E8" w:rsidRPr="00F70DF4" w:rsidRDefault="004762E8">
      <w:pPr>
        <w:rPr>
          <w:sz w:val="32"/>
          <w:lang w:val="es-CL"/>
        </w:rPr>
      </w:pPr>
    </w:p>
    <w:p w:rsidR="004762E8" w:rsidRPr="00F70DF4" w:rsidRDefault="00EB2817">
      <w:pPr>
        <w:rPr>
          <w:sz w:val="32"/>
          <w:lang w:val="es-CL"/>
        </w:rPr>
      </w:pPr>
      <w:r w:rsidRPr="00F70DF4">
        <w:rPr>
          <w:noProof/>
          <w:sz w:val="32"/>
          <w:lang w:val="es-CL" w:eastAsia="es-CL"/>
        </w:rPr>
        <w:drawing>
          <wp:anchor distT="0" distB="0" distL="114300" distR="114300" simplePos="0" relativeHeight="251658240" behindDoc="1" locked="0" layoutInCell="1" allowOverlap="1" wp14:anchorId="3BA6AEAB" wp14:editId="04879823">
            <wp:simplePos x="0" y="0"/>
            <wp:positionH relativeFrom="column">
              <wp:posOffset>-914400</wp:posOffset>
            </wp:positionH>
            <wp:positionV relativeFrom="paragraph">
              <wp:posOffset>321310</wp:posOffset>
            </wp:positionV>
            <wp:extent cx="7814299" cy="5191125"/>
            <wp:effectExtent l="0" t="0" r="0" b="0"/>
            <wp:wrapNone/>
            <wp:docPr id="2" name="Imagen 2" descr="C:\Users\vkunze\AppData\Local\Microsoft\Windows\Temporary Internet Files\Content.Outlook\9LRXN9B0\CruceroPuertoChacab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kunze\AppData\Local\Microsoft\Windows\Temporary Internet Files\Content.Outlook\9LRXN9B0\CruceroPuertoChacabuc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4299" cy="519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62E8" w:rsidRPr="00F70DF4" w:rsidRDefault="004762E8">
      <w:pPr>
        <w:rPr>
          <w:sz w:val="32"/>
          <w:lang w:val="es-CL"/>
        </w:rPr>
      </w:pPr>
    </w:p>
    <w:p w:rsidR="004762E8" w:rsidRPr="00F70DF4" w:rsidRDefault="004762E8" w:rsidP="00EB2817">
      <w:pPr>
        <w:spacing w:line="276" w:lineRule="auto"/>
        <w:ind w:right="-1413" w:hanging="1134"/>
        <w:rPr>
          <w:color w:val="FFFFFF" w:themeColor="background1"/>
          <w:lang w:val="es-CL"/>
        </w:rPr>
      </w:pPr>
      <w:r w:rsidRPr="00F70DF4">
        <w:rPr>
          <w:rStyle w:val="Textoennegrita"/>
          <w:color w:val="FFFFFF" w:themeColor="background1"/>
          <w:sz w:val="18"/>
          <w:szCs w:val="18"/>
          <w:lang w:val="es-CL"/>
        </w:rPr>
        <w:t xml:space="preserve">Nombre: </w:t>
      </w:r>
      <w:r w:rsidRPr="00F70DF4">
        <w:rPr>
          <w:color w:val="FFFFFF" w:themeColor="background1"/>
          <w:sz w:val="18"/>
          <w:szCs w:val="18"/>
          <w:lang w:val="es-CL"/>
        </w:rPr>
        <w:t>Crucero, Puerto Chacabuco</w:t>
      </w:r>
    </w:p>
    <w:p w:rsidR="004762E8" w:rsidRPr="00F70DF4" w:rsidRDefault="004762E8" w:rsidP="00EB2817">
      <w:pPr>
        <w:spacing w:line="276" w:lineRule="auto"/>
        <w:ind w:hanging="1134"/>
        <w:rPr>
          <w:color w:val="FFFFFF" w:themeColor="background1"/>
          <w:lang w:val="es-CL"/>
        </w:rPr>
      </w:pPr>
      <w:r w:rsidRPr="00F70DF4">
        <w:rPr>
          <w:rStyle w:val="Textoennegrita"/>
          <w:color w:val="FFFFFF" w:themeColor="background1"/>
          <w:sz w:val="18"/>
          <w:szCs w:val="18"/>
          <w:lang w:val="es-CL"/>
        </w:rPr>
        <w:t>Autor:</w:t>
      </w:r>
      <w:r w:rsidRPr="00F70DF4">
        <w:rPr>
          <w:b/>
          <w:bCs/>
          <w:color w:val="FFFFFF" w:themeColor="background1"/>
          <w:sz w:val="18"/>
          <w:szCs w:val="18"/>
          <w:lang w:val="es-CL"/>
        </w:rPr>
        <w:t xml:space="preserve"> </w:t>
      </w:r>
      <w:r w:rsidRPr="00F70DF4">
        <w:rPr>
          <w:color w:val="FFFFFF" w:themeColor="background1"/>
          <w:sz w:val="18"/>
          <w:szCs w:val="18"/>
          <w:lang w:val="es-CL"/>
        </w:rPr>
        <w:t>SERNATUR</w:t>
      </w:r>
    </w:p>
    <w:p w:rsidR="004762E8" w:rsidRPr="00F70DF4" w:rsidRDefault="004762E8" w:rsidP="00EB2817">
      <w:pPr>
        <w:spacing w:line="276" w:lineRule="auto"/>
        <w:ind w:hanging="1134"/>
        <w:rPr>
          <w:color w:val="FFFFFF" w:themeColor="background1"/>
          <w:lang w:val="es-CL"/>
        </w:rPr>
      </w:pPr>
      <w:r w:rsidRPr="00F70DF4">
        <w:rPr>
          <w:rStyle w:val="Textoennegrita"/>
          <w:color w:val="FFFFFF" w:themeColor="background1"/>
          <w:sz w:val="18"/>
          <w:szCs w:val="18"/>
          <w:lang w:val="es-CL"/>
        </w:rPr>
        <w:t>Región</w:t>
      </w:r>
      <w:r w:rsidRPr="00F70DF4">
        <w:rPr>
          <w:color w:val="FFFFFF" w:themeColor="background1"/>
          <w:sz w:val="18"/>
          <w:szCs w:val="18"/>
          <w:lang w:val="es-CL"/>
        </w:rPr>
        <w:t>: Región de Aysén del General Carlos Ibáñez del Campo</w:t>
      </w:r>
    </w:p>
    <w:p w:rsidR="004762E8" w:rsidRPr="00F70DF4" w:rsidRDefault="004762E8" w:rsidP="00EB2817">
      <w:pPr>
        <w:spacing w:line="276" w:lineRule="auto"/>
        <w:ind w:hanging="1134"/>
        <w:rPr>
          <w:color w:val="FFFFFF" w:themeColor="background1"/>
          <w:lang w:val="es-CL"/>
        </w:rPr>
      </w:pPr>
      <w:r w:rsidRPr="00F70DF4">
        <w:rPr>
          <w:rStyle w:val="Textoennegrita"/>
          <w:color w:val="FFFFFF" w:themeColor="background1"/>
          <w:sz w:val="18"/>
          <w:szCs w:val="18"/>
          <w:lang w:val="es-CL"/>
        </w:rPr>
        <w:t>Provincia:</w:t>
      </w:r>
      <w:r w:rsidRPr="00F70DF4">
        <w:rPr>
          <w:color w:val="FFFFFF" w:themeColor="background1"/>
          <w:sz w:val="18"/>
          <w:szCs w:val="18"/>
          <w:lang w:val="es-CL"/>
        </w:rPr>
        <w:t xml:space="preserve"> Aysén</w:t>
      </w:r>
    </w:p>
    <w:p w:rsidR="004762E8" w:rsidRPr="00F70DF4" w:rsidRDefault="004762E8" w:rsidP="00EB2817">
      <w:pPr>
        <w:ind w:hanging="1134"/>
        <w:rPr>
          <w:color w:val="FFFFFF" w:themeColor="background1"/>
          <w:sz w:val="32"/>
          <w:lang w:val="es-CL"/>
        </w:rPr>
      </w:pPr>
      <w:r w:rsidRPr="00F70DF4">
        <w:rPr>
          <w:rStyle w:val="Textoennegrita"/>
          <w:color w:val="FFFFFF" w:themeColor="background1"/>
          <w:sz w:val="18"/>
          <w:szCs w:val="18"/>
          <w:lang w:val="es-CL"/>
        </w:rPr>
        <w:t>Comuna:</w:t>
      </w:r>
      <w:r w:rsidRPr="00F70DF4">
        <w:rPr>
          <w:color w:val="FFFFFF" w:themeColor="background1"/>
          <w:sz w:val="18"/>
          <w:szCs w:val="18"/>
          <w:lang w:val="es-CL"/>
        </w:rPr>
        <w:t xml:space="preserve"> Aysén</w:t>
      </w:r>
    </w:p>
    <w:p w:rsidR="004762E8" w:rsidRPr="00F70DF4" w:rsidRDefault="004762E8">
      <w:pPr>
        <w:rPr>
          <w:sz w:val="32"/>
          <w:lang w:val="es-CL"/>
        </w:rPr>
      </w:pPr>
    </w:p>
    <w:p w:rsidR="004762E8" w:rsidRPr="00F70DF4" w:rsidRDefault="004762E8">
      <w:pPr>
        <w:rPr>
          <w:sz w:val="32"/>
          <w:lang w:val="es-CL"/>
        </w:rPr>
      </w:pPr>
    </w:p>
    <w:p w:rsidR="004762E8" w:rsidRPr="00F70DF4" w:rsidRDefault="004762E8">
      <w:pPr>
        <w:rPr>
          <w:sz w:val="32"/>
          <w:lang w:val="es-CL"/>
        </w:rPr>
      </w:pPr>
    </w:p>
    <w:p w:rsidR="004762E8" w:rsidRPr="00F70DF4" w:rsidRDefault="004762E8">
      <w:pPr>
        <w:rPr>
          <w:sz w:val="32"/>
          <w:lang w:val="es-CL"/>
        </w:rPr>
      </w:pPr>
    </w:p>
    <w:p w:rsidR="00581343" w:rsidRPr="00F70DF4" w:rsidRDefault="00581343">
      <w:pPr>
        <w:rPr>
          <w:i/>
          <w:iCs/>
          <w:color w:val="5B9BD5" w:themeColor="accent1"/>
          <w:sz w:val="32"/>
          <w:lang w:val="es-CL"/>
        </w:rPr>
      </w:pPr>
      <w:r w:rsidRPr="00F70DF4">
        <w:rPr>
          <w:sz w:val="32"/>
          <w:lang w:val="es-CL"/>
        </w:rPr>
        <w:br w:type="page"/>
      </w:r>
    </w:p>
    <w:p w:rsidR="00EB2817" w:rsidRPr="00F70DF4" w:rsidRDefault="00EB2817" w:rsidP="00EB2817">
      <w:pPr>
        <w:pStyle w:val="Ttulo1"/>
        <w:spacing w:line="360" w:lineRule="auto"/>
        <w:jc w:val="both"/>
        <w:rPr>
          <w:rFonts w:asciiTheme="minorHAnsi" w:hAnsiTheme="minorHAnsi"/>
          <w:b/>
          <w:i/>
          <w:lang w:val="es-CL"/>
        </w:rPr>
      </w:pPr>
      <w:r w:rsidRPr="00F70DF4">
        <w:rPr>
          <w:rFonts w:asciiTheme="minorHAnsi" w:hAnsiTheme="minorHAnsi"/>
          <w:b/>
          <w:i/>
          <w:lang w:val="es-CL"/>
        </w:rPr>
        <w:lastRenderedPageBreak/>
        <w:t>Introducción</w:t>
      </w:r>
    </w:p>
    <w:p w:rsidR="00EB2817" w:rsidRPr="00F70DF4" w:rsidRDefault="00EB2817" w:rsidP="00DD2C4B">
      <w:pPr>
        <w:spacing w:before="240" w:line="360" w:lineRule="auto"/>
        <w:jc w:val="both"/>
        <w:rPr>
          <w:lang w:val="es-CL"/>
        </w:rPr>
      </w:pPr>
    </w:p>
    <w:p w:rsidR="00F70DF4" w:rsidRPr="00F70DF4" w:rsidRDefault="00F70DF4" w:rsidP="00F70DF4">
      <w:pPr>
        <w:spacing w:before="240" w:line="360" w:lineRule="auto"/>
        <w:jc w:val="both"/>
        <w:rPr>
          <w:lang w:val="es-CL"/>
        </w:rPr>
      </w:pPr>
      <w:r w:rsidRPr="00F70DF4">
        <w:rPr>
          <w:lang w:val="es-CL"/>
        </w:rPr>
        <w:t>El turismo en cruceros es una de las actividades que destaca por su crecimiento sostenido. Las cifras internacionales revelan que la actividad ha crecido desde 1980 al 2011, a un ritmo sostenido de 7,5% anual, y las tasas de ocupación de flotas ostentan porcentajes que superan al 100%</w:t>
      </w:r>
      <w:r w:rsidRPr="00F70DF4">
        <w:rPr>
          <w:rStyle w:val="Refdenotaalpie"/>
          <w:lang w:val="es-CL"/>
        </w:rPr>
        <w:footnoteReference w:id="1"/>
      </w:r>
      <w:r w:rsidRPr="00F70DF4">
        <w:rPr>
          <w:lang w:val="es-CL"/>
        </w:rPr>
        <w:t>.</w:t>
      </w:r>
    </w:p>
    <w:p w:rsidR="00F70DF4" w:rsidRPr="00F70DF4" w:rsidRDefault="00F70DF4" w:rsidP="00F70DF4">
      <w:pPr>
        <w:spacing w:before="240" w:line="360" w:lineRule="auto"/>
        <w:jc w:val="both"/>
        <w:rPr>
          <w:lang w:val="es-CL"/>
        </w:rPr>
      </w:pPr>
      <w:r w:rsidRPr="00F70DF4">
        <w:rPr>
          <w:lang w:val="es-CL"/>
        </w:rPr>
        <w:t xml:space="preserve">Para el año 2015 se </w:t>
      </w:r>
      <w:r w:rsidRPr="00F70DF4">
        <w:rPr>
          <w:lang w:val="es-CL"/>
        </w:rPr>
        <w:t>preveía</w:t>
      </w:r>
      <w:r w:rsidRPr="00F70DF4">
        <w:rPr>
          <w:lang w:val="es-CL"/>
        </w:rPr>
        <w:t xml:space="preserve"> un fuerte crecimiento en la industria de cruceros, donde se esperaba que 23 millones de pasajeros se embarquen en un crucero. Las compañías de cruceros atraen a más viajeros a los que ofrecen aproximadamente 1.000 puertos de escala. Durante 2015 CLIA ha informado que las compañías que pertenecen a la asociación pondrán en funcionamiento 22 nuevos barcos con una inversión total de 4.000 millones de dólares. </w:t>
      </w:r>
    </w:p>
    <w:p w:rsidR="00F70DF4" w:rsidRPr="00F70DF4" w:rsidRDefault="00F70DF4" w:rsidP="00F70DF4">
      <w:pPr>
        <w:spacing w:before="240" w:line="360" w:lineRule="auto"/>
        <w:jc w:val="both"/>
        <w:rPr>
          <w:lang w:val="es-CL"/>
        </w:rPr>
      </w:pPr>
      <w:r w:rsidRPr="00F70DF4">
        <w:rPr>
          <w:lang w:val="es-CL"/>
        </w:rPr>
        <w:t>Además, la industria de cruceros tendrá este año un fuerte impacto a nivel mundial. En 2013, la contribución económica global de la industria de los cruceros fue de más de 117.000 millones de dólares, contribuyó con cerca de 900.000 puestos de trabajo y con un total de 38.000 millones de dólares en compensaciones salariales</w:t>
      </w:r>
      <w:r w:rsidRPr="00F70DF4">
        <w:rPr>
          <w:rStyle w:val="Refdenotaalpie"/>
          <w:lang w:val="es-CL"/>
        </w:rPr>
        <w:footnoteReference w:id="2"/>
      </w:r>
      <w:r w:rsidRPr="00F70DF4">
        <w:rPr>
          <w:lang w:val="es-CL"/>
        </w:rPr>
        <w:t>.</w:t>
      </w:r>
    </w:p>
    <w:p w:rsidR="00F70DF4" w:rsidRPr="00F70DF4" w:rsidRDefault="00F70DF4" w:rsidP="00F70DF4">
      <w:pPr>
        <w:spacing w:before="240" w:line="360" w:lineRule="auto"/>
        <w:jc w:val="both"/>
        <w:rPr>
          <w:lang w:val="es-CL"/>
        </w:rPr>
      </w:pPr>
      <w:r w:rsidRPr="00F70DF4">
        <w:rPr>
          <w:lang w:val="es-CL"/>
        </w:rPr>
        <w:t xml:space="preserve">En Chile, este es un turismo que ha ido creciendo con el correr de los años, para esta temporada 2015/2016 están contempladas 236 recaladas de 26 distintos cruceros pertenecientes a importantes líneas de cruceros como: </w:t>
      </w:r>
      <w:proofErr w:type="spellStart"/>
      <w:r w:rsidRPr="00F70DF4">
        <w:rPr>
          <w:lang w:val="es-CL"/>
        </w:rPr>
        <w:t>Cunard</w:t>
      </w:r>
      <w:proofErr w:type="spellEnd"/>
      <w:r w:rsidRPr="00F70DF4">
        <w:rPr>
          <w:lang w:val="es-CL"/>
        </w:rPr>
        <w:t xml:space="preserve">, </w:t>
      </w:r>
      <w:proofErr w:type="spellStart"/>
      <w:r w:rsidRPr="00F70DF4">
        <w:rPr>
          <w:lang w:val="es-CL"/>
        </w:rPr>
        <w:t>Holland</w:t>
      </w:r>
      <w:proofErr w:type="spellEnd"/>
      <w:r w:rsidRPr="00F70DF4">
        <w:rPr>
          <w:lang w:val="es-CL"/>
        </w:rPr>
        <w:t xml:space="preserve"> </w:t>
      </w:r>
      <w:proofErr w:type="spellStart"/>
      <w:r w:rsidRPr="00F70DF4">
        <w:rPr>
          <w:lang w:val="es-CL"/>
        </w:rPr>
        <w:t>America</w:t>
      </w:r>
      <w:proofErr w:type="spellEnd"/>
      <w:r w:rsidRPr="00F70DF4">
        <w:rPr>
          <w:lang w:val="es-CL"/>
        </w:rPr>
        <w:t xml:space="preserve"> Line, </w:t>
      </w:r>
      <w:proofErr w:type="spellStart"/>
      <w:r w:rsidRPr="00F70DF4">
        <w:rPr>
          <w:lang w:val="es-CL"/>
        </w:rPr>
        <w:t>Seabourn</w:t>
      </w:r>
      <w:proofErr w:type="spellEnd"/>
      <w:r w:rsidRPr="00F70DF4">
        <w:rPr>
          <w:lang w:val="es-CL"/>
        </w:rPr>
        <w:t xml:space="preserve"> </w:t>
      </w:r>
      <w:proofErr w:type="spellStart"/>
      <w:r w:rsidRPr="00F70DF4">
        <w:rPr>
          <w:lang w:val="es-CL"/>
        </w:rPr>
        <w:t>Cruise</w:t>
      </w:r>
      <w:proofErr w:type="spellEnd"/>
      <w:r w:rsidRPr="00F70DF4">
        <w:rPr>
          <w:lang w:val="es-CL"/>
        </w:rPr>
        <w:t xml:space="preserve"> Line, </w:t>
      </w:r>
      <w:proofErr w:type="spellStart"/>
      <w:r w:rsidRPr="00F70DF4">
        <w:rPr>
          <w:lang w:val="es-CL"/>
        </w:rPr>
        <w:t>Princess</w:t>
      </w:r>
      <w:proofErr w:type="spellEnd"/>
      <w:r w:rsidRPr="00F70DF4">
        <w:rPr>
          <w:lang w:val="es-CL"/>
        </w:rPr>
        <w:t xml:space="preserve"> </w:t>
      </w:r>
      <w:proofErr w:type="spellStart"/>
      <w:r w:rsidRPr="00F70DF4">
        <w:rPr>
          <w:lang w:val="es-CL"/>
        </w:rPr>
        <w:t>Cruise</w:t>
      </w:r>
      <w:proofErr w:type="spellEnd"/>
      <w:r w:rsidRPr="00F70DF4">
        <w:rPr>
          <w:lang w:val="es-CL"/>
        </w:rPr>
        <w:t xml:space="preserve">, </w:t>
      </w:r>
      <w:proofErr w:type="spellStart"/>
      <w:r w:rsidRPr="00F70DF4">
        <w:rPr>
          <w:lang w:val="es-CL"/>
        </w:rPr>
        <w:t>Celebrity</w:t>
      </w:r>
      <w:proofErr w:type="spellEnd"/>
      <w:r w:rsidRPr="00F70DF4">
        <w:rPr>
          <w:lang w:val="es-CL"/>
        </w:rPr>
        <w:t xml:space="preserve"> </w:t>
      </w:r>
      <w:proofErr w:type="spellStart"/>
      <w:r w:rsidRPr="00F70DF4">
        <w:rPr>
          <w:lang w:val="es-CL"/>
        </w:rPr>
        <w:t>Cruise</w:t>
      </w:r>
      <w:proofErr w:type="spellEnd"/>
      <w:r w:rsidRPr="00F70DF4">
        <w:rPr>
          <w:lang w:val="es-CL"/>
        </w:rPr>
        <w:t xml:space="preserve"> y </w:t>
      </w:r>
      <w:proofErr w:type="spellStart"/>
      <w:r w:rsidRPr="00F70DF4">
        <w:rPr>
          <w:lang w:val="es-CL"/>
        </w:rPr>
        <w:t>Silversea</w:t>
      </w:r>
      <w:proofErr w:type="spellEnd"/>
      <w:r w:rsidRPr="00F70DF4">
        <w:rPr>
          <w:lang w:val="es-CL"/>
        </w:rPr>
        <w:t xml:space="preserve"> </w:t>
      </w:r>
      <w:proofErr w:type="spellStart"/>
      <w:r w:rsidRPr="00F70DF4">
        <w:rPr>
          <w:lang w:val="es-CL"/>
        </w:rPr>
        <w:t>Cruise</w:t>
      </w:r>
      <w:proofErr w:type="spellEnd"/>
      <w:r w:rsidRPr="00F70DF4">
        <w:rPr>
          <w:lang w:val="es-CL"/>
        </w:rPr>
        <w:t xml:space="preserve">. </w:t>
      </w:r>
    </w:p>
    <w:p w:rsidR="00F70DF4" w:rsidRPr="00F70DF4" w:rsidRDefault="00F70DF4" w:rsidP="00F70DF4">
      <w:pPr>
        <w:spacing w:before="240" w:line="360" w:lineRule="auto"/>
        <w:jc w:val="both"/>
        <w:rPr>
          <w:lang w:val="es-CL"/>
        </w:rPr>
      </w:pPr>
      <w:r w:rsidRPr="00F70DF4">
        <w:rPr>
          <w:lang w:val="es-CL"/>
        </w:rPr>
        <w:t>En agosto de 2015 se realizaron proyecciones para la temporada 2015/2016, en ese momento se esperaba 212 recaladas en los puertos del país, con 272.732</w:t>
      </w:r>
      <w:r w:rsidR="00F70866">
        <w:rPr>
          <w:lang w:val="es-CL"/>
        </w:rPr>
        <w:t xml:space="preserve"> pasajeros esperados. Esta información fue actualizada con cifras reales al 15 de enero de 2015, y el resto de temporada se mantiene de acuerdo a las proyecciones. La</w:t>
      </w:r>
      <w:r w:rsidRPr="00F70DF4">
        <w:rPr>
          <w:lang w:val="es-CL"/>
        </w:rPr>
        <w:t xml:space="preserve"> realidad nos muestra que hay un 11% más de recaladas y un +15% más de pasajeros. Esto estimado por cada puerto se refleja en los siguientes gráficos:</w:t>
      </w:r>
    </w:p>
    <w:p w:rsidR="00F70DF4" w:rsidRDefault="00F70DF4" w:rsidP="00CF3E6A">
      <w:pPr>
        <w:jc w:val="both"/>
        <w:rPr>
          <w:lang w:val="es-CL"/>
        </w:rPr>
      </w:pPr>
      <w:r w:rsidRPr="00F70DF4">
        <w:rPr>
          <w:noProof/>
          <w:lang w:val="es-CL" w:eastAsia="es-CL"/>
        </w:rPr>
        <w:lastRenderedPageBreak/>
        <w:drawing>
          <wp:inline distT="0" distB="0" distL="0" distR="0" wp14:anchorId="6B5EA699" wp14:editId="292A2EE6">
            <wp:extent cx="5943600" cy="272415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3E6A" w:rsidRPr="00F70DF4" w:rsidRDefault="00CF3E6A" w:rsidP="00CF3E6A">
      <w:pPr>
        <w:spacing w:before="240"/>
        <w:jc w:val="both"/>
        <w:rPr>
          <w:sz w:val="18"/>
          <w:szCs w:val="18"/>
          <w:lang w:val="es-CL"/>
        </w:rPr>
      </w:pPr>
      <w:r w:rsidRPr="00F70DF4">
        <w:rPr>
          <w:sz w:val="18"/>
          <w:szCs w:val="18"/>
          <w:lang w:val="es-CL"/>
        </w:rPr>
        <w:t>Fuente: Elaboración propia en base a información de la Corporación de Puertos del Cono Sur.</w:t>
      </w:r>
    </w:p>
    <w:p w:rsidR="00CF3E6A" w:rsidRPr="00F70DF4" w:rsidRDefault="00CF3E6A" w:rsidP="00F70DF4">
      <w:pPr>
        <w:spacing w:line="360" w:lineRule="auto"/>
        <w:jc w:val="both"/>
        <w:rPr>
          <w:lang w:val="es-CL"/>
        </w:rPr>
      </w:pPr>
    </w:p>
    <w:p w:rsidR="00F70DF4" w:rsidRPr="00F70DF4" w:rsidRDefault="00F70DF4" w:rsidP="00CF3E6A">
      <w:pPr>
        <w:jc w:val="both"/>
        <w:rPr>
          <w:lang w:val="es-CL"/>
        </w:rPr>
      </w:pPr>
      <w:r w:rsidRPr="00F70DF4">
        <w:rPr>
          <w:noProof/>
          <w:lang w:val="es-CL" w:eastAsia="es-CL"/>
        </w:rPr>
        <w:drawing>
          <wp:inline distT="0" distB="0" distL="0" distR="0" wp14:anchorId="5255F602" wp14:editId="46CB9D5E">
            <wp:extent cx="5943600" cy="2762250"/>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F3E6A" w:rsidRPr="00F70DF4" w:rsidRDefault="00CF3E6A" w:rsidP="00CF3E6A">
      <w:pPr>
        <w:spacing w:before="240"/>
        <w:jc w:val="both"/>
        <w:rPr>
          <w:sz w:val="18"/>
          <w:szCs w:val="18"/>
          <w:lang w:val="es-CL"/>
        </w:rPr>
      </w:pPr>
      <w:r w:rsidRPr="00F70DF4">
        <w:rPr>
          <w:sz w:val="18"/>
          <w:szCs w:val="18"/>
          <w:lang w:val="es-CL"/>
        </w:rPr>
        <w:t>Fuente: Elaboración propia en base a información de la Corporación de Puertos del Cono Sur.</w:t>
      </w:r>
    </w:p>
    <w:p w:rsidR="00F70DF4" w:rsidRPr="00F70DF4" w:rsidRDefault="00F70DF4" w:rsidP="00F70DF4">
      <w:pPr>
        <w:spacing w:line="360" w:lineRule="auto"/>
        <w:jc w:val="both"/>
        <w:rPr>
          <w:lang w:val="es-CL"/>
        </w:rPr>
      </w:pPr>
    </w:p>
    <w:p w:rsidR="00F70DF4" w:rsidRPr="00F70DF4" w:rsidRDefault="00F70DF4" w:rsidP="00F70DF4">
      <w:pPr>
        <w:spacing w:line="360" w:lineRule="auto"/>
        <w:jc w:val="both"/>
        <w:rPr>
          <w:lang w:val="es-CL"/>
        </w:rPr>
      </w:pPr>
      <w:r w:rsidRPr="00F70DF4">
        <w:rPr>
          <w:lang w:val="es-CL"/>
        </w:rPr>
        <w:t xml:space="preserve">Durante la temporada 2015/2016 están confirmados los arribos de 29 naves pertenecientes a 24 </w:t>
      </w:r>
      <w:proofErr w:type="spellStart"/>
      <w:r w:rsidRPr="00F70DF4">
        <w:rPr>
          <w:lang w:val="es-CL"/>
        </w:rPr>
        <w:t>lineas</w:t>
      </w:r>
      <w:proofErr w:type="spellEnd"/>
      <w:r w:rsidRPr="00F70DF4">
        <w:rPr>
          <w:lang w:val="es-CL"/>
        </w:rPr>
        <w:t xml:space="preserve"> de cruceros, estas son:</w:t>
      </w:r>
    </w:p>
    <w:p w:rsidR="00F70DF4" w:rsidRPr="00F70DF4" w:rsidRDefault="00F70DF4" w:rsidP="00F70DF4">
      <w:pPr>
        <w:spacing w:line="360" w:lineRule="auto"/>
        <w:jc w:val="both"/>
        <w:rPr>
          <w:lang w:val="es-CL"/>
        </w:rPr>
      </w:pPr>
    </w:p>
    <w:p w:rsidR="00F70DF4" w:rsidRPr="00F70DF4" w:rsidRDefault="00F70DF4" w:rsidP="00F70DF4">
      <w:pPr>
        <w:spacing w:line="360" w:lineRule="auto"/>
        <w:jc w:val="both"/>
        <w:rPr>
          <w:lang w:val="es-CL"/>
        </w:rPr>
      </w:pPr>
    </w:p>
    <w:p w:rsidR="00F70DF4" w:rsidRPr="00F70DF4" w:rsidRDefault="00F70DF4" w:rsidP="00F70DF4">
      <w:pPr>
        <w:spacing w:line="360" w:lineRule="auto"/>
        <w:jc w:val="both"/>
        <w:rPr>
          <w:lang w:val="es-CL"/>
        </w:rPr>
      </w:pPr>
    </w:p>
    <w:tbl>
      <w:tblPr>
        <w:tblW w:w="5000" w:type="pct"/>
        <w:tblLayout w:type="fixed"/>
        <w:tblCellMar>
          <w:left w:w="70" w:type="dxa"/>
          <w:right w:w="70" w:type="dxa"/>
        </w:tblCellMar>
        <w:tblLook w:val="04A0" w:firstRow="1" w:lastRow="0" w:firstColumn="1" w:lastColumn="0" w:noHBand="0" w:noVBand="1"/>
      </w:tblPr>
      <w:tblGrid>
        <w:gridCol w:w="2114"/>
        <w:gridCol w:w="1701"/>
        <w:gridCol w:w="1276"/>
        <w:gridCol w:w="994"/>
        <w:gridCol w:w="994"/>
        <w:gridCol w:w="1181"/>
        <w:gridCol w:w="1080"/>
      </w:tblGrid>
      <w:tr w:rsidR="00F70DF4" w:rsidRPr="00CF3E6A" w:rsidTr="00CF3E6A">
        <w:trPr>
          <w:trHeight w:val="485"/>
        </w:trPr>
        <w:tc>
          <w:tcPr>
            <w:tcW w:w="1132" w:type="pct"/>
            <w:tcBorders>
              <w:top w:val="single" w:sz="8" w:space="0" w:color="ED7D31"/>
              <w:left w:val="single" w:sz="8" w:space="0" w:color="ED7D31"/>
              <w:bottom w:val="single" w:sz="8" w:space="0" w:color="ED7D31"/>
              <w:right w:val="nil"/>
            </w:tcBorders>
            <w:shd w:val="clear" w:color="000000" w:fill="ED7D31"/>
            <w:vAlign w:val="center"/>
            <w:hideMark/>
          </w:tcPr>
          <w:p w:rsidR="00F70DF4" w:rsidRPr="00CF3E6A" w:rsidRDefault="00F70DF4" w:rsidP="00D35336">
            <w:pPr>
              <w:jc w:val="center"/>
              <w:rPr>
                <w:rFonts w:eastAsia="Times New Roman" w:cs="Times New Roman"/>
                <w:b/>
                <w:bCs/>
                <w:color w:val="000000"/>
                <w:kern w:val="0"/>
                <w:sz w:val="18"/>
                <w:szCs w:val="18"/>
                <w:lang w:val="es-CL" w:eastAsia="es-CL"/>
                <w14:ligatures w14:val="none"/>
              </w:rPr>
            </w:pPr>
            <w:r w:rsidRPr="00CF3E6A">
              <w:rPr>
                <w:rFonts w:eastAsia="Times New Roman" w:cs="Times New Roman"/>
                <w:b/>
                <w:bCs/>
                <w:color w:val="000000"/>
                <w:kern w:val="0"/>
                <w:sz w:val="18"/>
                <w:szCs w:val="18"/>
                <w:lang w:val="es-CL" w:eastAsia="es-CL"/>
                <w14:ligatures w14:val="none"/>
              </w:rPr>
              <w:lastRenderedPageBreak/>
              <w:t>Línea de Crucero</w:t>
            </w:r>
          </w:p>
        </w:tc>
        <w:tc>
          <w:tcPr>
            <w:tcW w:w="911" w:type="pct"/>
            <w:tcBorders>
              <w:top w:val="single" w:sz="8" w:space="0" w:color="ED7D31"/>
              <w:left w:val="nil"/>
              <w:bottom w:val="single" w:sz="8" w:space="0" w:color="ED7D31"/>
              <w:right w:val="nil"/>
            </w:tcBorders>
            <w:shd w:val="clear" w:color="000000" w:fill="ED7D31"/>
            <w:vAlign w:val="center"/>
            <w:hideMark/>
          </w:tcPr>
          <w:p w:rsidR="00F70DF4" w:rsidRPr="00CF3E6A" w:rsidRDefault="00F70DF4" w:rsidP="00D35336">
            <w:pPr>
              <w:jc w:val="center"/>
              <w:rPr>
                <w:rFonts w:eastAsia="Times New Roman" w:cs="Times New Roman"/>
                <w:b/>
                <w:bCs/>
                <w:color w:val="000000"/>
                <w:kern w:val="0"/>
                <w:sz w:val="18"/>
                <w:szCs w:val="18"/>
                <w:lang w:val="es-CL" w:eastAsia="es-CL"/>
                <w14:ligatures w14:val="none"/>
              </w:rPr>
            </w:pPr>
            <w:r w:rsidRPr="00CF3E6A">
              <w:rPr>
                <w:rFonts w:eastAsia="Times New Roman" w:cs="Times New Roman"/>
                <w:b/>
                <w:bCs/>
                <w:color w:val="000000"/>
                <w:kern w:val="0"/>
                <w:sz w:val="18"/>
                <w:szCs w:val="18"/>
                <w:lang w:val="es-CL" w:eastAsia="es-CL"/>
                <w14:ligatures w14:val="none"/>
              </w:rPr>
              <w:t>Nave</w:t>
            </w:r>
          </w:p>
        </w:tc>
        <w:tc>
          <w:tcPr>
            <w:tcW w:w="683" w:type="pct"/>
            <w:tcBorders>
              <w:top w:val="single" w:sz="8" w:space="0" w:color="ED7D31"/>
              <w:left w:val="nil"/>
              <w:bottom w:val="single" w:sz="8" w:space="0" w:color="ED7D31"/>
              <w:right w:val="nil"/>
            </w:tcBorders>
            <w:shd w:val="clear" w:color="000000" w:fill="ED7D31"/>
            <w:vAlign w:val="center"/>
            <w:hideMark/>
          </w:tcPr>
          <w:p w:rsidR="00F70DF4" w:rsidRPr="00CF3E6A" w:rsidRDefault="00F70DF4" w:rsidP="00D35336">
            <w:pPr>
              <w:jc w:val="center"/>
              <w:rPr>
                <w:rFonts w:eastAsia="Times New Roman" w:cs="Times New Roman"/>
                <w:b/>
                <w:bCs/>
                <w:color w:val="000000"/>
                <w:kern w:val="0"/>
                <w:sz w:val="18"/>
                <w:szCs w:val="18"/>
                <w:lang w:val="es-CL" w:eastAsia="es-CL"/>
                <w14:ligatures w14:val="none"/>
              </w:rPr>
            </w:pPr>
            <w:r w:rsidRPr="00CF3E6A">
              <w:rPr>
                <w:rFonts w:eastAsia="Times New Roman" w:cs="Times New Roman"/>
                <w:b/>
                <w:bCs/>
                <w:color w:val="000000"/>
                <w:kern w:val="0"/>
                <w:sz w:val="18"/>
                <w:szCs w:val="18"/>
                <w:lang w:val="es-CL" w:eastAsia="es-CL"/>
                <w14:ligatures w14:val="none"/>
              </w:rPr>
              <w:t>Capacidad pasajeros (PAX)</w:t>
            </w:r>
          </w:p>
        </w:tc>
        <w:tc>
          <w:tcPr>
            <w:tcW w:w="532" w:type="pct"/>
            <w:tcBorders>
              <w:top w:val="single" w:sz="8" w:space="0" w:color="ED7D31"/>
              <w:left w:val="nil"/>
              <w:bottom w:val="single" w:sz="8" w:space="0" w:color="ED7D31"/>
              <w:right w:val="nil"/>
            </w:tcBorders>
            <w:shd w:val="clear" w:color="000000" w:fill="ED7D31"/>
            <w:vAlign w:val="center"/>
            <w:hideMark/>
          </w:tcPr>
          <w:p w:rsidR="00F70DF4" w:rsidRPr="00CF3E6A" w:rsidRDefault="00F70DF4" w:rsidP="00D35336">
            <w:pPr>
              <w:jc w:val="center"/>
              <w:rPr>
                <w:rFonts w:eastAsia="Times New Roman" w:cs="Times New Roman"/>
                <w:b/>
                <w:bCs/>
                <w:color w:val="000000"/>
                <w:kern w:val="0"/>
                <w:sz w:val="18"/>
                <w:szCs w:val="18"/>
                <w:lang w:val="es-CL" w:eastAsia="es-CL"/>
                <w14:ligatures w14:val="none"/>
              </w:rPr>
            </w:pPr>
            <w:r w:rsidRPr="00CF3E6A">
              <w:rPr>
                <w:rFonts w:eastAsia="Times New Roman" w:cs="Times New Roman"/>
                <w:b/>
                <w:bCs/>
                <w:color w:val="000000"/>
                <w:kern w:val="0"/>
                <w:sz w:val="18"/>
                <w:szCs w:val="18"/>
                <w:lang w:val="es-CL" w:eastAsia="es-CL"/>
                <w14:ligatures w14:val="none"/>
              </w:rPr>
              <w:t>Tonelaje (GT)</w:t>
            </w:r>
          </w:p>
        </w:tc>
        <w:tc>
          <w:tcPr>
            <w:tcW w:w="532" w:type="pct"/>
            <w:tcBorders>
              <w:top w:val="single" w:sz="8" w:space="0" w:color="ED7D31"/>
              <w:left w:val="nil"/>
              <w:bottom w:val="single" w:sz="8" w:space="0" w:color="ED7D31"/>
              <w:right w:val="nil"/>
            </w:tcBorders>
            <w:shd w:val="clear" w:color="000000" w:fill="ED7D31"/>
            <w:vAlign w:val="center"/>
            <w:hideMark/>
          </w:tcPr>
          <w:p w:rsidR="00F70DF4" w:rsidRPr="00CF3E6A" w:rsidRDefault="00F70DF4" w:rsidP="00D35336">
            <w:pPr>
              <w:jc w:val="center"/>
              <w:rPr>
                <w:rFonts w:eastAsia="Times New Roman" w:cs="Times New Roman"/>
                <w:b/>
                <w:bCs/>
                <w:color w:val="000000"/>
                <w:kern w:val="0"/>
                <w:sz w:val="18"/>
                <w:szCs w:val="18"/>
                <w:lang w:val="es-CL" w:eastAsia="es-CL"/>
                <w14:ligatures w14:val="none"/>
              </w:rPr>
            </w:pPr>
            <w:r w:rsidRPr="00CF3E6A">
              <w:rPr>
                <w:rFonts w:eastAsia="Times New Roman" w:cs="Times New Roman"/>
                <w:b/>
                <w:bCs/>
                <w:color w:val="000000"/>
                <w:kern w:val="0"/>
                <w:sz w:val="18"/>
                <w:szCs w:val="18"/>
                <w:lang w:val="es-CL" w:eastAsia="es-CL"/>
                <w14:ligatures w14:val="none"/>
              </w:rPr>
              <w:t>Ratio (GT/PAX)</w:t>
            </w:r>
          </w:p>
        </w:tc>
        <w:tc>
          <w:tcPr>
            <w:tcW w:w="632" w:type="pct"/>
            <w:tcBorders>
              <w:top w:val="single" w:sz="8" w:space="0" w:color="ED7D31"/>
              <w:left w:val="nil"/>
              <w:bottom w:val="single" w:sz="8" w:space="0" w:color="ED7D31"/>
              <w:right w:val="nil"/>
            </w:tcBorders>
            <w:shd w:val="clear" w:color="000000" w:fill="ED7D31"/>
            <w:vAlign w:val="center"/>
            <w:hideMark/>
          </w:tcPr>
          <w:p w:rsidR="00F70DF4" w:rsidRPr="00CF3E6A" w:rsidRDefault="00F70DF4" w:rsidP="00D35336">
            <w:pPr>
              <w:jc w:val="center"/>
              <w:rPr>
                <w:rFonts w:eastAsia="Times New Roman" w:cs="Times New Roman"/>
                <w:b/>
                <w:bCs/>
                <w:color w:val="000000"/>
                <w:kern w:val="0"/>
                <w:sz w:val="18"/>
                <w:szCs w:val="18"/>
                <w:lang w:val="es-CL" w:eastAsia="es-CL"/>
                <w14:ligatures w14:val="none"/>
              </w:rPr>
            </w:pPr>
            <w:r w:rsidRPr="00CF3E6A">
              <w:rPr>
                <w:rFonts w:eastAsia="Times New Roman" w:cs="Times New Roman"/>
                <w:b/>
                <w:bCs/>
                <w:color w:val="000000"/>
                <w:kern w:val="0"/>
                <w:sz w:val="18"/>
                <w:szCs w:val="18"/>
                <w:lang w:val="es-CL" w:eastAsia="es-CL"/>
                <w14:ligatures w14:val="none"/>
              </w:rPr>
              <w:t>Ratio (PAX/CREW)</w:t>
            </w:r>
          </w:p>
        </w:tc>
        <w:tc>
          <w:tcPr>
            <w:tcW w:w="578" w:type="pct"/>
            <w:tcBorders>
              <w:top w:val="single" w:sz="8" w:space="0" w:color="ED7D31"/>
              <w:left w:val="nil"/>
              <w:bottom w:val="single" w:sz="8" w:space="0" w:color="ED7D31"/>
              <w:right w:val="single" w:sz="8" w:space="0" w:color="ED7D31"/>
            </w:tcBorders>
            <w:shd w:val="clear" w:color="000000" w:fill="ED7D31"/>
            <w:vAlign w:val="center"/>
            <w:hideMark/>
          </w:tcPr>
          <w:p w:rsidR="00F70DF4" w:rsidRPr="00CF3E6A" w:rsidRDefault="00F70DF4" w:rsidP="00D35336">
            <w:pPr>
              <w:jc w:val="center"/>
              <w:rPr>
                <w:rFonts w:eastAsia="Times New Roman" w:cs="Times New Roman"/>
                <w:b/>
                <w:bCs/>
                <w:color w:val="000000"/>
                <w:kern w:val="0"/>
                <w:sz w:val="18"/>
                <w:szCs w:val="18"/>
                <w:lang w:val="es-CL" w:eastAsia="es-CL"/>
                <w14:ligatures w14:val="none"/>
              </w:rPr>
            </w:pPr>
            <w:r w:rsidRPr="00CF3E6A">
              <w:rPr>
                <w:rFonts w:eastAsia="Times New Roman" w:cs="Times New Roman"/>
                <w:b/>
                <w:bCs/>
                <w:color w:val="000000"/>
                <w:kern w:val="0"/>
                <w:sz w:val="18"/>
                <w:szCs w:val="18"/>
                <w:lang w:val="es-CL" w:eastAsia="es-CL"/>
                <w14:ligatures w14:val="none"/>
              </w:rPr>
              <w:t>País</w:t>
            </w:r>
          </w:p>
        </w:tc>
      </w:tr>
      <w:tr w:rsidR="00F70DF4" w:rsidRPr="00CF3E6A" w:rsidTr="00CF3E6A">
        <w:trPr>
          <w:trHeight w:val="315"/>
        </w:trPr>
        <w:tc>
          <w:tcPr>
            <w:tcW w:w="1132" w:type="pct"/>
            <w:tcBorders>
              <w:top w:val="nil"/>
              <w:left w:val="single" w:sz="8" w:space="0" w:color="F4B083"/>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b/>
                <w:bCs/>
                <w:color w:val="000000"/>
                <w:kern w:val="0"/>
                <w:sz w:val="18"/>
                <w:szCs w:val="18"/>
                <w:lang w:val="es-CL" w:eastAsia="es-CL"/>
                <w14:ligatures w14:val="none"/>
              </w:rPr>
            </w:pPr>
            <w:proofErr w:type="spellStart"/>
            <w:r w:rsidRPr="00CF3E6A">
              <w:rPr>
                <w:rFonts w:eastAsia="Times New Roman" w:cs="Times New Roman"/>
                <w:b/>
                <w:bCs/>
                <w:color w:val="000000"/>
                <w:kern w:val="0"/>
                <w:sz w:val="18"/>
                <w:szCs w:val="18"/>
                <w:lang w:val="es-CL" w:eastAsia="es-CL"/>
                <w14:ligatures w14:val="none"/>
              </w:rPr>
              <w:t>Celebrity</w:t>
            </w:r>
            <w:proofErr w:type="spellEnd"/>
            <w:r w:rsidRPr="00CF3E6A">
              <w:rPr>
                <w:rFonts w:eastAsia="Times New Roman" w:cs="Times New Roman"/>
                <w:b/>
                <w:bCs/>
                <w:color w:val="000000"/>
                <w:kern w:val="0"/>
                <w:sz w:val="18"/>
                <w:szCs w:val="18"/>
                <w:lang w:val="es-CL" w:eastAsia="es-CL"/>
                <w14:ligatures w14:val="none"/>
              </w:rPr>
              <w:t xml:space="preserve"> </w:t>
            </w:r>
            <w:proofErr w:type="spellStart"/>
            <w:r w:rsidRPr="00CF3E6A">
              <w:rPr>
                <w:rFonts w:eastAsia="Times New Roman" w:cs="Times New Roman"/>
                <w:b/>
                <w:bCs/>
                <w:color w:val="000000"/>
                <w:kern w:val="0"/>
                <w:sz w:val="18"/>
                <w:szCs w:val="18"/>
                <w:lang w:val="es-CL" w:eastAsia="es-CL"/>
                <w14:ligatures w14:val="none"/>
              </w:rPr>
              <w:t>Cruises</w:t>
            </w:r>
            <w:proofErr w:type="spellEnd"/>
          </w:p>
        </w:tc>
        <w:tc>
          <w:tcPr>
            <w:tcW w:w="911"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proofErr w:type="spellStart"/>
            <w:r w:rsidRPr="00CF3E6A">
              <w:rPr>
                <w:rFonts w:eastAsia="Times New Roman" w:cs="Times New Roman"/>
                <w:color w:val="000000"/>
                <w:kern w:val="0"/>
                <w:sz w:val="18"/>
                <w:szCs w:val="18"/>
                <w:lang w:val="es-CL" w:eastAsia="es-CL"/>
                <w14:ligatures w14:val="none"/>
              </w:rPr>
              <w:t>Celebrity</w:t>
            </w:r>
            <w:proofErr w:type="spellEnd"/>
            <w:r w:rsidRPr="00CF3E6A">
              <w:rPr>
                <w:rFonts w:eastAsia="Times New Roman" w:cs="Times New Roman"/>
                <w:color w:val="000000"/>
                <w:kern w:val="0"/>
                <w:sz w:val="18"/>
                <w:szCs w:val="18"/>
                <w:lang w:val="es-CL" w:eastAsia="es-CL"/>
                <w14:ligatures w14:val="none"/>
              </w:rPr>
              <w:t xml:space="preserve"> </w:t>
            </w:r>
            <w:proofErr w:type="spellStart"/>
            <w:r w:rsidRPr="00CF3E6A">
              <w:rPr>
                <w:rFonts w:eastAsia="Times New Roman" w:cs="Times New Roman"/>
                <w:color w:val="000000"/>
                <w:kern w:val="0"/>
                <w:sz w:val="18"/>
                <w:szCs w:val="18"/>
                <w:lang w:val="es-CL" w:eastAsia="es-CL"/>
                <w14:ligatures w14:val="none"/>
              </w:rPr>
              <w:t>Infinity</w:t>
            </w:r>
            <w:proofErr w:type="spellEnd"/>
          </w:p>
        </w:tc>
        <w:tc>
          <w:tcPr>
            <w:tcW w:w="683"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2.449</w:t>
            </w:r>
          </w:p>
        </w:tc>
        <w:tc>
          <w:tcPr>
            <w:tcW w:w="532"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91.000</w:t>
            </w:r>
          </w:p>
        </w:tc>
        <w:tc>
          <w:tcPr>
            <w:tcW w:w="532"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37,16</w:t>
            </w:r>
          </w:p>
        </w:tc>
        <w:tc>
          <w:tcPr>
            <w:tcW w:w="632"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2,45</w:t>
            </w:r>
          </w:p>
        </w:tc>
        <w:tc>
          <w:tcPr>
            <w:tcW w:w="578"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EEUU</w:t>
            </w:r>
          </w:p>
        </w:tc>
      </w:tr>
      <w:tr w:rsidR="00F70DF4" w:rsidRPr="00CF3E6A" w:rsidTr="00CF3E6A">
        <w:trPr>
          <w:trHeight w:val="315"/>
        </w:trPr>
        <w:tc>
          <w:tcPr>
            <w:tcW w:w="1132" w:type="pct"/>
            <w:tcBorders>
              <w:top w:val="nil"/>
              <w:left w:val="single" w:sz="8" w:space="0" w:color="F4B083"/>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b/>
                <w:bCs/>
                <w:color w:val="000000"/>
                <w:kern w:val="0"/>
                <w:sz w:val="18"/>
                <w:szCs w:val="18"/>
                <w:lang w:val="es-CL" w:eastAsia="es-CL"/>
                <w14:ligatures w14:val="none"/>
              </w:rPr>
            </w:pPr>
            <w:proofErr w:type="spellStart"/>
            <w:r w:rsidRPr="00CF3E6A">
              <w:rPr>
                <w:rFonts w:eastAsia="Times New Roman" w:cs="Times New Roman"/>
                <w:b/>
                <w:bCs/>
                <w:color w:val="000000"/>
                <w:kern w:val="0"/>
                <w:sz w:val="18"/>
                <w:szCs w:val="18"/>
                <w:lang w:val="es-CL" w:eastAsia="es-CL"/>
                <w14:ligatures w14:val="none"/>
              </w:rPr>
              <w:t>Compagnies</w:t>
            </w:r>
            <w:proofErr w:type="spellEnd"/>
            <w:r w:rsidRPr="00CF3E6A">
              <w:rPr>
                <w:rFonts w:eastAsia="Times New Roman" w:cs="Times New Roman"/>
                <w:b/>
                <w:bCs/>
                <w:color w:val="000000"/>
                <w:kern w:val="0"/>
                <w:sz w:val="18"/>
                <w:szCs w:val="18"/>
                <w:lang w:val="es-CL" w:eastAsia="es-CL"/>
                <w14:ligatures w14:val="none"/>
              </w:rPr>
              <w:t xml:space="preserve"> </w:t>
            </w:r>
            <w:proofErr w:type="spellStart"/>
            <w:r w:rsidRPr="00CF3E6A">
              <w:rPr>
                <w:rFonts w:eastAsia="Times New Roman" w:cs="Times New Roman"/>
                <w:b/>
                <w:bCs/>
                <w:color w:val="000000"/>
                <w:kern w:val="0"/>
                <w:sz w:val="18"/>
                <w:szCs w:val="18"/>
                <w:lang w:val="es-CL" w:eastAsia="es-CL"/>
                <w14:ligatures w14:val="none"/>
              </w:rPr>
              <w:t>Iles</w:t>
            </w:r>
            <w:proofErr w:type="spellEnd"/>
            <w:r w:rsidRPr="00CF3E6A">
              <w:rPr>
                <w:rFonts w:eastAsia="Times New Roman" w:cs="Times New Roman"/>
                <w:b/>
                <w:bCs/>
                <w:color w:val="000000"/>
                <w:kern w:val="0"/>
                <w:sz w:val="18"/>
                <w:szCs w:val="18"/>
                <w:lang w:val="es-CL" w:eastAsia="es-CL"/>
                <w14:ligatures w14:val="none"/>
              </w:rPr>
              <w:t xml:space="preserve"> Du </w:t>
            </w:r>
            <w:proofErr w:type="spellStart"/>
            <w:r w:rsidRPr="00CF3E6A">
              <w:rPr>
                <w:rFonts w:eastAsia="Times New Roman" w:cs="Times New Roman"/>
                <w:b/>
                <w:bCs/>
                <w:color w:val="000000"/>
                <w:kern w:val="0"/>
                <w:sz w:val="18"/>
                <w:szCs w:val="18"/>
                <w:lang w:val="es-CL" w:eastAsia="es-CL"/>
                <w14:ligatures w14:val="none"/>
              </w:rPr>
              <w:t>ponant</w:t>
            </w:r>
            <w:proofErr w:type="spellEnd"/>
          </w:p>
        </w:tc>
        <w:tc>
          <w:tcPr>
            <w:tcW w:w="911"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Le Boreal</w:t>
            </w:r>
          </w:p>
        </w:tc>
        <w:tc>
          <w:tcPr>
            <w:tcW w:w="683"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264</w:t>
            </w:r>
          </w:p>
        </w:tc>
        <w:tc>
          <w:tcPr>
            <w:tcW w:w="532"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10.944</w:t>
            </w:r>
          </w:p>
        </w:tc>
        <w:tc>
          <w:tcPr>
            <w:tcW w:w="532"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41,45</w:t>
            </w:r>
          </w:p>
        </w:tc>
        <w:tc>
          <w:tcPr>
            <w:tcW w:w="632"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1,89</w:t>
            </w:r>
          </w:p>
        </w:tc>
        <w:tc>
          <w:tcPr>
            <w:tcW w:w="578"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Francia</w:t>
            </w:r>
          </w:p>
        </w:tc>
      </w:tr>
      <w:tr w:rsidR="00F70DF4" w:rsidRPr="00CF3E6A" w:rsidTr="00CF3E6A">
        <w:trPr>
          <w:trHeight w:val="315"/>
        </w:trPr>
        <w:tc>
          <w:tcPr>
            <w:tcW w:w="1132" w:type="pct"/>
            <w:tcBorders>
              <w:top w:val="nil"/>
              <w:left w:val="single" w:sz="8" w:space="0" w:color="F4B083"/>
              <w:bottom w:val="single" w:sz="8" w:space="0" w:color="F4B083"/>
              <w:right w:val="single" w:sz="8" w:space="0" w:color="F4B083"/>
            </w:tcBorders>
            <w:shd w:val="clear" w:color="000000" w:fill="FBE4D5"/>
            <w:noWrap/>
            <w:vAlign w:val="center"/>
            <w:hideMark/>
          </w:tcPr>
          <w:p w:rsidR="00F70DF4" w:rsidRPr="00CF3E6A" w:rsidRDefault="00F70DF4" w:rsidP="00D35336">
            <w:pPr>
              <w:jc w:val="center"/>
              <w:rPr>
                <w:rFonts w:eastAsia="Times New Roman" w:cs="Times New Roman"/>
                <w:b/>
                <w:bCs/>
                <w:color w:val="000000"/>
                <w:kern w:val="0"/>
                <w:sz w:val="18"/>
                <w:szCs w:val="18"/>
                <w:lang w:val="es-CL" w:eastAsia="es-CL"/>
                <w14:ligatures w14:val="none"/>
              </w:rPr>
            </w:pPr>
            <w:r w:rsidRPr="00CF3E6A">
              <w:rPr>
                <w:rFonts w:eastAsia="Times New Roman" w:cs="Times New Roman"/>
                <w:b/>
                <w:bCs/>
                <w:color w:val="000000"/>
                <w:kern w:val="0"/>
                <w:sz w:val="18"/>
                <w:szCs w:val="18"/>
                <w:lang w:val="es-CL" w:eastAsia="es-CL"/>
                <w14:ligatures w14:val="none"/>
              </w:rPr>
              <w:t xml:space="preserve">Costa </w:t>
            </w:r>
            <w:proofErr w:type="spellStart"/>
            <w:r w:rsidRPr="00CF3E6A">
              <w:rPr>
                <w:rFonts w:eastAsia="Times New Roman" w:cs="Times New Roman"/>
                <w:b/>
                <w:bCs/>
                <w:color w:val="000000"/>
                <w:kern w:val="0"/>
                <w:sz w:val="18"/>
                <w:szCs w:val="18"/>
                <w:lang w:val="es-CL" w:eastAsia="es-CL"/>
                <w14:ligatures w14:val="none"/>
              </w:rPr>
              <w:t>Crociere</w:t>
            </w:r>
            <w:proofErr w:type="spellEnd"/>
          </w:p>
        </w:tc>
        <w:tc>
          <w:tcPr>
            <w:tcW w:w="911" w:type="pct"/>
            <w:tcBorders>
              <w:top w:val="nil"/>
              <w:left w:val="nil"/>
              <w:bottom w:val="single" w:sz="8" w:space="0" w:color="F4B083"/>
              <w:right w:val="single" w:sz="8" w:space="0" w:color="F4B083"/>
            </w:tcBorders>
            <w:shd w:val="clear" w:color="000000" w:fill="FBE4D5"/>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Costa Luminosa</w:t>
            </w:r>
          </w:p>
        </w:tc>
        <w:tc>
          <w:tcPr>
            <w:tcW w:w="683" w:type="pct"/>
            <w:tcBorders>
              <w:top w:val="nil"/>
              <w:left w:val="nil"/>
              <w:bottom w:val="single" w:sz="8" w:space="0" w:color="F4B083"/>
              <w:right w:val="single" w:sz="8" w:space="0" w:color="F4B083"/>
            </w:tcBorders>
            <w:shd w:val="clear" w:color="000000" w:fill="FBE4D5"/>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2.826</w:t>
            </w:r>
          </w:p>
        </w:tc>
        <w:tc>
          <w:tcPr>
            <w:tcW w:w="532" w:type="pct"/>
            <w:tcBorders>
              <w:top w:val="nil"/>
              <w:left w:val="nil"/>
              <w:bottom w:val="single" w:sz="8" w:space="0" w:color="F4B083"/>
              <w:right w:val="single" w:sz="8" w:space="0" w:color="F4B083"/>
            </w:tcBorders>
            <w:shd w:val="clear" w:color="000000" w:fill="FBE4D5"/>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92.600</w:t>
            </w:r>
          </w:p>
        </w:tc>
        <w:tc>
          <w:tcPr>
            <w:tcW w:w="532" w:type="pct"/>
            <w:tcBorders>
              <w:top w:val="nil"/>
              <w:left w:val="nil"/>
              <w:bottom w:val="single" w:sz="8" w:space="0" w:color="F4B083"/>
              <w:right w:val="single" w:sz="8" w:space="0" w:color="F4B083"/>
            </w:tcBorders>
            <w:shd w:val="clear" w:color="000000" w:fill="FBE4D5"/>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32,77</w:t>
            </w:r>
          </w:p>
        </w:tc>
        <w:tc>
          <w:tcPr>
            <w:tcW w:w="632" w:type="pct"/>
            <w:tcBorders>
              <w:top w:val="nil"/>
              <w:left w:val="nil"/>
              <w:bottom w:val="single" w:sz="8" w:space="0" w:color="F4B083"/>
              <w:right w:val="single" w:sz="8" w:space="0" w:color="F4B083"/>
            </w:tcBorders>
            <w:shd w:val="clear" w:color="000000" w:fill="FBE4D5"/>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2,69</w:t>
            </w:r>
          </w:p>
        </w:tc>
        <w:tc>
          <w:tcPr>
            <w:tcW w:w="578" w:type="pct"/>
            <w:tcBorders>
              <w:top w:val="nil"/>
              <w:left w:val="nil"/>
              <w:bottom w:val="single" w:sz="8" w:space="0" w:color="F4B083"/>
              <w:right w:val="single" w:sz="8" w:space="0" w:color="F4B083"/>
            </w:tcBorders>
            <w:shd w:val="clear" w:color="000000" w:fill="FBE4D5"/>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Italia</w:t>
            </w:r>
          </w:p>
        </w:tc>
      </w:tr>
      <w:tr w:rsidR="00F70DF4" w:rsidRPr="00CF3E6A" w:rsidTr="00CF3E6A">
        <w:trPr>
          <w:trHeight w:val="315"/>
        </w:trPr>
        <w:tc>
          <w:tcPr>
            <w:tcW w:w="1132" w:type="pct"/>
            <w:vMerge w:val="restart"/>
            <w:tcBorders>
              <w:top w:val="nil"/>
              <w:left w:val="single" w:sz="8" w:space="0" w:color="F4B083"/>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b/>
                <w:bCs/>
                <w:color w:val="000000"/>
                <w:kern w:val="0"/>
                <w:sz w:val="18"/>
                <w:szCs w:val="18"/>
                <w:lang w:val="es-CL" w:eastAsia="es-CL"/>
                <w14:ligatures w14:val="none"/>
              </w:rPr>
            </w:pPr>
            <w:proofErr w:type="spellStart"/>
            <w:r w:rsidRPr="00CF3E6A">
              <w:rPr>
                <w:rFonts w:eastAsia="Times New Roman" w:cs="Times New Roman"/>
                <w:b/>
                <w:bCs/>
                <w:color w:val="000000"/>
                <w:kern w:val="0"/>
                <w:sz w:val="18"/>
                <w:szCs w:val="18"/>
                <w:lang w:val="es-CL" w:eastAsia="es-CL"/>
                <w14:ligatures w14:val="none"/>
              </w:rPr>
              <w:t>Crystal</w:t>
            </w:r>
            <w:proofErr w:type="spellEnd"/>
            <w:r w:rsidRPr="00CF3E6A">
              <w:rPr>
                <w:rFonts w:eastAsia="Times New Roman" w:cs="Times New Roman"/>
                <w:b/>
                <w:bCs/>
                <w:color w:val="000000"/>
                <w:kern w:val="0"/>
                <w:sz w:val="18"/>
                <w:szCs w:val="18"/>
                <w:lang w:val="es-CL" w:eastAsia="es-CL"/>
                <w14:ligatures w14:val="none"/>
              </w:rPr>
              <w:t xml:space="preserve"> </w:t>
            </w:r>
            <w:proofErr w:type="spellStart"/>
            <w:r w:rsidRPr="00CF3E6A">
              <w:rPr>
                <w:rFonts w:eastAsia="Times New Roman" w:cs="Times New Roman"/>
                <w:b/>
                <w:bCs/>
                <w:color w:val="000000"/>
                <w:kern w:val="0"/>
                <w:sz w:val="18"/>
                <w:szCs w:val="18"/>
                <w:lang w:val="es-CL" w:eastAsia="es-CL"/>
                <w14:ligatures w14:val="none"/>
              </w:rPr>
              <w:t>Cruises</w:t>
            </w:r>
            <w:proofErr w:type="spellEnd"/>
          </w:p>
        </w:tc>
        <w:tc>
          <w:tcPr>
            <w:tcW w:w="911"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proofErr w:type="spellStart"/>
            <w:r w:rsidRPr="00CF3E6A">
              <w:rPr>
                <w:rFonts w:eastAsia="Times New Roman" w:cs="Times New Roman"/>
                <w:color w:val="000000"/>
                <w:kern w:val="0"/>
                <w:sz w:val="18"/>
                <w:szCs w:val="18"/>
                <w:lang w:val="es-CL" w:eastAsia="es-CL"/>
                <w14:ligatures w14:val="none"/>
              </w:rPr>
              <w:t>Crystal</w:t>
            </w:r>
            <w:proofErr w:type="spellEnd"/>
            <w:r w:rsidRPr="00CF3E6A">
              <w:rPr>
                <w:rFonts w:eastAsia="Times New Roman" w:cs="Times New Roman"/>
                <w:color w:val="000000"/>
                <w:kern w:val="0"/>
                <w:sz w:val="18"/>
                <w:szCs w:val="18"/>
                <w:lang w:val="es-CL" w:eastAsia="es-CL"/>
                <w14:ligatures w14:val="none"/>
              </w:rPr>
              <w:t xml:space="preserve"> </w:t>
            </w:r>
            <w:proofErr w:type="spellStart"/>
            <w:r w:rsidRPr="00CF3E6A">
              <w:rPr>
                <w:rFonts w:eastAsia="Times New Roman" w:cs="Times New Roman"/>
                <w:color w:val="000000"/>
                <w:kern w:val="0"/>
                <w:sz w:val="18"/>
                <w:szCs w:val="18"/>
                <w:lang w:val="es-CL" w:eastAsia="es-CL"/>
                <w14:ligatures w14:val="none"/>
              </w:rPr>
              <w:t>Symphony</w:t>
            </w:r>
            <w:proofErr w:type="spellEnd"/>
          </w:p>
        </w:tc>
        <w:tc>
          <w:tcPr>
            <w:tcW w:w="683"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1.070</w:t>
            </w:r>
          </w:p>
        </w:tc>
        <w:tc>
          <w:tcPr>
            <w:tcW w:w="532"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51.044</w:t>
            </w:r>
          </w:p>
        </w:tc>
        <w:tc>
          <w:tcPr>
            <w:tcW w:w="532"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47,70</w:t>
            </w:r>
          </w:p>
        </w:tc>
        <w:tc>
          <w:tcPr>
            <w:tcW w:w="632"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1,63</w:t>
            </w:r>
          </w:p>
        </w:tc>
        <w:tc>
          <w:tcPr>
            <w:tcW w:w="578"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EEUU</w:t>
            </w:r>
          </w:p>
        </w:tc>
      </w:tr>
      <w:tr w:rsidR="00F70DF4" w:rsidRPr="00CF3E6A" w:rsidTr="00CF3E6A">
        <w:trPr>
          <w:trHeight w:val="315"/>
        </w:trPr>
        <w:tc>
          <w:tcPr>
            <w:tcW w:w="1132" w:type="pct"/>
            <w:vMerge/>
            <w:tcBorders>
              <w:top w:val="nil"/>
              <w:left w:val="single" w:sz="8" w:space="0" w:color="F4B083"/>
              <w:bottom w:val="single" w:sz="8" w:space="0" w:color="F4B083"/>
              <w:right w:val="single" w:sz="8" w:space="0" w:color="F4B083"/>
            </w:tcBorders>
            <w:vAlign w:val="center"/>
            <w:hideMark/>
          </w:tcPr>
          <w:p w:rsidR="00F70DF4" w:rsidRPr="00CF3E6A" w:rsidRDefault="00F70DF4" w:rsidP="00D35336">
            <w:pPr>
              <w:rPr>
                <w:rFonts w:eastAsia="Times New Roman" w:cs="Times New Roman"/>
                <w:b/>
                <w:bCs/>
                <w:color w:val="000000"/>
                <w:kern w:val="0"/>
                <w:sz w:val="18"/>
                <w:szCs w:val="18"/>
                <w:lang w:val="es-CL" w:eastAsia="es-CL"/>
                <w14:ligatures w14:val="none"/>
              </w:rPr>
            </w:pPr>
          </w:p>
        </w:tc>
        <w:tc>
          <w:tcPr>
            <w:tcW w:w="911"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proofErr w:type="spellStart"/>
            <w:r w:rsidRPr="00CF3E6A">
              <w:rPr>
                <w:rFonts w:eastAsia="Times New Roman" w:cs="Times New Roman"/>
                <w:color w:val="000000"/>
                <w:kern w:val="0"/>
                <w:sz w:val="18"/>
                <w:szCs w:val="18"/>
                <w:lang w:val="es-CL" w:eastAsia="es-CL"/>
                <w14:ligatures w14:val="none"/>
              </w:rPr>
              <w:t>Crystal</w:t>
            </w:r>
            <w:proofErr w:type="spellEnd"/>
            <w:r w:rsidRPr="00CF3E6A">
              <w:rPr>
                <w:rFonts w:eastAsia="Times New Roman" w:cs="Times New Roman"/>
                <w:color w:val="000000"/>
                <w:kern w:val="0"/>
                <w:sz w:val="18"/>
                <w:szCs w:val="18"/>
                <w:lang w:val="es-CL" w:eastAsia="es-CL"/>
                <w14:ligatures w14:val="none"/>
              </w:rPr>
              <w:t xml:space="preserve"> </w:t>
            </w:r>
            <w:proofErr w:type="spellStart"/>
            <w:r w:rsidRPr="00CF3E6A">
              <w:rPr>
                <w:rFonts w:eastAsia="Times New Roman" w:cs="Times New Roman"/>
                <w:color w:val="000000"/>
                <w:kern w:val="0"/>
                <w:sz w:val="18"/>
                <w:szCs w:val="18"/>
                <w:lang w:val="es-CL" w:eastAsia="es-CL"/>
                <w14:ligatures w14:val="none"/>
              </w:rPr>
              <w:t>Serenity</w:t>
            </w:r>
            <w:proofErr w:type="spellEnd"/>
          </w:p>
        </w:tc>
        <w:tc>
          <w:tcPr>
            <w:tcW w:w="683"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1.070</w:t>
            </w:r>
          </w:p>
        </w:tc>
        <w:tc>
          <w:tcPr>
            <w:tcW w:w="532"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68.870</w:t>
            </w:r>
          </w:p>
        </w:tc>
        <w:tc>
          <w:tcPr>
            <w:tcW w:w="532"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64,36</w:t>
            </w:r>
          </w:p>
        </w:tc>
        <w:tc>
          <w:tcPr>
            <w:tcW w:w="632"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1,65</w:t>
            </w:r>
          </w:p>
        </w:tc>
        <w:tc>
          <w:tcPr>
            <w:tcW w:w="578"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EEUU</w:t>
            </w:r>
          </w:p>
        </w:tc>
      </w:tr>
      <w:tr w:rsidR="00F70DF4" w:rsidRPr="00CF3E6A" w:rsidTr="00CF3E6A">
        <w:trPr>
          <w:trHeight w:val="315"/>
        </w:trPr>
        <w:tc>
          <w:tcPr>
            <w:tcW w:w="1132" w:type="pct"/>
            <w:tcBorders>
              <w:top w:val="nil"/>
              <w:left w:val="single" w:sz="8" w:space="0" w:color="F4B083"/>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b/>
                <w:bCs/>
                <w:color w:val="000000"/>
                <w:kern w:val="0"/>
                <w:sz w:val="18"/>
                <w:szCs w:val="18"/>
                <w:lang w:val="es-CL" w:eastAsia="es-CL"/>
                <w14:ligatures w14:val="none"/>
              </w:rPr>
            </w:pPr>
            <w:r w:rsidRPr="00CF3E6A">
              <w:rPr>
                <w:rFonts w:eastAsia="Times New Roman" w:cs="Times New Roman"/>
                <w:b/>
                <w:bCs/>
                <w:color w:val="000000"/>
                <w:kern w:val="0"/>
                <w:sz w:val="18"/>
                <w:szCs w:val="18"/>
                <w:lang w:val="es-CL" w:eastAsia="es-CL"/>
                <w14:ligatures w14:val="none"/>
              </w:rPr>
              <w:t xml:space="preserve">Fred. </w:t>
            </w:r>
            <w:proofErr w:type="spellStart"/>
            <w:r w:rsidRPr="00CF3E6A">
              <w:rPr>
                <w:rFonts w:eastAsia="Times New Roman" w:cs="Times New Roman"/>
                <w:b/>
                <w:bCs/>
                <w:color w:val="000000"/>
                <w:kern w:val="0"/>
                <w:sz w:val="18"/>
                <w:szCs w:val="18"/>
                <w:lang w:val="es-CL" w:eastAsia="es-CL"/>
                <w14:ligatures w14:val="none"/>
              </w:rPr>
              <w:t>Olsen</w:t>
            </w:r>
            <w:proofErr w:type="spellEnd"/>
            <w:r w:rsidRPr="00CF3E6A">
              <w:rPr>
                <w:rFonts w:eastAsia="Times New Roman" w:cs="Times New Roman"/>
                <w:b/>
                <w:bCs/>
                <w:color w:val="000000"/>
                <w:kern w:val="0"/>
                <w:sz w:val="18"/>
                <w:szCs w:val="18"/>
                <w:lang w:val="es-CL" w:eastAsia="es-CL"/>
                <w14:ligatures w14:val="none"/>
              </w:rPr>
              <w:t xml:space="preserve"> </w:t>
            </w:r>
            <w:proofErr w:type="spellStart"/>
            <w:r w:rsidRPr="00CF3E6A">
              <w:rPr>
                <w:rFonts w:eastAsia="Times New Roman" w:cs="Times New Roman"/>
                <w:b/>
                <w:bCs/>
                <w:color w:val="000000"/>
                <w:kern w:val="0"/>
                <w:sz w:val="18"/>
                <w:szCs w:val="18"/>
                <w:lang w:val="es-CL" w:eastAsia="es-CL"/>
                <w14:ligatures w14:val="none"/>
              </w:rPr>
              <w:t>Cruise</w:t>
            </w:r>
            <w:proofErr w:type="spellEnd"/>
            <w:r w:rsidRPr="00CF3E6A">
              <w:rPr>
                <w:rFonts w:eastAsia="Times New Roman" w:cs="Times New Roman"/>
                <w:b/>
                <w:bCs/>
                <w:color w:val="000000"/>
                <w:kern w:val="0"/>
                <w:sz w:val="18"/>
                <w:szCs w:val="18"/>
                <w:lang w:val="es-CL" w:eastAsia="es-CL"/>
                <w14:ligatures w14:val="none"/>
              </w:rPr>
              <w:t xml:space="preserve"> Line</w:t>
            </w:r>
          </w:p>
        </w:tc>
        <w:tc>
          <w:tcPr>
            <w:tcW w:w="911"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 xml:space="preserve">Black </w:t>
            </w:r>
            <w:proofErr w:type="spellStart"/>
            <w:r w:rsidRPr="00CF3E6A">
              <w:rPr>
                <w:rFonts w:eastAsia="Times New Roman" w:cs="Times New Roman"/>
                <w:color w:val="000000"/>
                <w:kern w:val="0"/>
                <w:sz w:val="18"/>
                <w:szCs w:val="18"/>
                <w:lang w:val="es-CL" w:eastAsia="es-CL"/>
                <w14:ligatures w14:val="none"/>
              </w:rPr>
              <w:t>Watch</w:t>
            </w:r>
            <w:proofErr w:type="spellEnd"/>
          </w:p>
        </w:tc>
        <w:tc>
          <w:tcPr>
            <w:tcW w:w="683"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804</w:t>
            </w:r>
          </w:p>
        </w:tc>
        <w:tc>
          <w:tcPr>
            <w:tcW w:w="532"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28.613</w:t>
            </w:r>
          </w:p>
        </w:tc>
        <w:tc>
          <w:tcPr>
            <w:tcW w:w="532"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35,59</w:t>
            </w:r>
          </w:p>
        </w:tc>
        <w:tc>
          <w:tcPr>
            <w:tcW w:w="632"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2,44</w:t>
            </w:r>
          </w:p>
        </w:tc>
        <w:tc>
          <w:tcPr>
            <w:tcW w:w="578"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Noruega</w:t>
            </w:r>
          </w:p>
        </w:tc>
      </w:tr>
      <w:tr w:rsidR="00F70DF4" w:rsidRPr="00CF3E6A" w:rsidTr="00CF3E6A">
        <w:trPr>
          <w:trHeight w:val="315"/>
        </w:trPr>
        <w:tc>
          <w:tcPr>
            <w:tcW w:w="1132" w:type="pct"/>
            <w:tcBorders>
              <w:top w:val="nil"/>
              <w:left w:val="single" w:sz="8" w:space="0" w:color="F4B083"/>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b/>
                <w:bCs/>
                <w:color w:val="000000"/>
                <w:kern w:val="0"/>
                <w:sz w:val="18"/>
                <w:szCs w:val="18"/>
                <w:lang w:val="es-CL" w:eastAsia="es-CL"/>
                <w14:ligatures w14:val="none"/>
              </w:rPr>
            </w:pPr>
            <w:proofErr w:type="spellStart"/>
            <w:r w:rsidRPr="00CF3E6A">
              <w:rPr>
                <w:rFonts w:eastAsia="Times New Roman" w:cs="Times New Roman"/>
                <w:b/>
                <w:bCs/>
                <w:color w:val="000000"/>
                <w:kern w:val="0"/>
                <w:sz w:val="18"/>
                <w:szCs w:val="18"/>
                <w:lang w:val="es-CL" w:eastAsia="es-CL"/>
                <w14:ligatures w14:val="none"/>
              </w:rPr>
              <w:t>Hapag</w:t>
            </w:r>
            <w:proofErr w:type="spellEnd"/>
            <w:r w:rsidRPr="00CF3E6A">
              <w:rPr>
                <w:rFonts w:eastAsia="Times New Roman" w:cs="Times New Roman"/>
                <w:b/>
                <w:bCs/>
                <w:color w:val="000000"/>
                <w:kern w:val="0"/>
                <w:sz w:val="18"/>
                <w:szCs w:val="18"/>
                <w:lang w:val="es-CL" w:eastAsia="es-CL"/>
                <w14:ligatures w14:val="none"/>
              </w:rPr>
              <w:t xml:space="preserve">-Lloyd </w:t>
            </w:r>
            <w:proofErr w:type="spellStart"/>
            <w:r w:rsidRPr="00CF3E6A">
              <w:rPr>
                <w:rFonts w:eastAsia="Times New Roman" w:cs="Times New Roman"/>
                <w:b/>
                <w:bCs/>
                <w:color w:val="000000"/>
                <w:kern w:val="0"/>
                <w:sz w:val="18"/>
                <w:szCs w:val="18"/>
                <w:lang w:val="es-CL" w:eastAsia="es-CL"/>
                <w14:ligatures w14:val="none"/>
              </w:rPr>
              <w:t>Cruises</w:t>
            </w:r>
            <w:proofErr w:type="spellEnd"/>
          </w:p>
        </w:tc>
        <w:tc>
          <w:tcPr>
            <w:tcW w:w="911"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Ms Bremen</w:t>
            </w:r>
          </w:p>
        </w:tc>
        <w:tc>
          <w:tcPr>
            <w:tcW w:w="683"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155</w:t>
            </w:r>
          </w:p>
        </w:tc>
        <w:tc>
          <w:tcPr>
            <w:tcW w:w="532"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6.752</w:t>
            </w:r>
          </w:p>
        </w:tc>
        <w:tc>
          <w:tcPr>
            <w:tcW w:w="532"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43,56</w:t>
            </w:r>
          </w:p>
        </w:tc>
        <w:tc>
          <w:tcPr>
            <w:tcW w:w="632"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1,55</w:t>
            </w:r>
          </w:p>
        </w:tc>
        <w:tc>
          <w:tcPr>
            <w:tcW w:w="578"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Alemania</w:t>
            </w:r>
          </w:p>
        </w:tc>
      </w:tr>
      <w:tr w:rsidR="00F70DF4" w:rsidRPr="00CF3E6A" w:rsidTr="00CF3E6A">
        <w:trPr>
          <w:trHeight w:val="315"/>
        </w:trPr>
        <w:tc>
          <w:tcPr>
            <w:tcW w:w="1132" w:type="pct"/>
            <w:vMerge w:val="restart"/>
            <w:tcBorders>
              <w:top w:val="nil"/>
              <w:left w:val="single" w:sz="8" w:space="0" w:color="F4B083"/>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b/>
                <w:bCs/>
                <w:color w:val="000000"/>
                <w:kern w:val="0"/>
                <w:sz w:val="18"/>
                <w:szCs w:val="18"/>
                <w:lang w:val="es-CL" w:eastAsia="es-CL"/>
                <w14:ligatures w14:val="none"/>
              </w:rPr>
            </w:pPr>
            <w:proofErr w:type="spellStart"/>
            <w:r w:rsidRPr="00CF3E6A">
              <w:rPr>
                <w:rFonts w:eastAsia="Times New Roman" w:cs="Times New Roman"/>
                <w:b/>
                <w:bCs/>
                <w:color w:val="000000"/>
                <w:kern w:val="0"/>
                <w:sz w:val="18"/>
                <w:szCs w:val="18"/>
                <w:lang w:val="es-CL" w:eastAsia="es-CL"/>
                <w14:ligatures w14:val="none"/>
              </w:rPr>
              <w:t>Holland</w:t>
            </w:r>
            <w:proofErr w:type="spellEnd"/>
            <w:r w:rsidRPr="00CF3E6A">
              <w:rPr>
                <w:rFonts w:eastAsia="Times New Roman" w:cs="Times New Roman"/>
                <w:b/>
                <w:bCs/>
                <w:color w:val="000000"/>
                <w:kern w:val="0"/>
                <w:sz w:val="18"/>
                <w:szCs w:val="18"/>
                <w:lang w:val="es-CL" w:eastAsia="es-CL"/>
                <w14:ligatures w14:val="none"/>
              </w:rPr>
              <w:t xml:space="preserve"> </w:t>
            </w:r>
            <w:proofErr w:type="spellStart"/>
            <w:r w:rsidRPr="00CF3E6A">
              <w:rPr>
                <w:rFonts w:eastAsia="Times New Roman" w:cs="Times New Roman"/>
                <w:b/>
                <w:bCs/>
                <w:color w:val="000000"/>
                <w:kern w:val="0"/>
                <w:sz w:val="18"/>
                <w:szCs w:val="18"/>
                <w:lang w:val="es-CL" w:eastAsia="es-CL"/>
                <w14:ligatures w14:val="none"/>
              </w:rPr>
              <w:t>America</w:t>
            </w:r>
            <w:proofErr w:type="spellEnd"/>
            <w:r w:rsidRPr="00CF3E6A">
              <w:rPr>
                <w:rFonts w:eastAsia="Times New Roman" w:cs="Times New Roman"/>
                <w:b/>
                <w:bCs/>
                <w:color w:val="000000"/>
                <w:kern w:val="0"/>
                <w:sz w:val="18"/>
                <w:szCs w:val="18"/>
                <w:lang w:val="es-CL" w:eastAsia="es-CL"/>
                <w14:ligatures w14:val="none"/>
              </w:rPr>
              <w:t xml:space="preserve"> Line</w:t>
            </w:r>
          </w:p>
        </w:tc>
        <w:tc>
          <w:tcPr>
            <w:tcW w:w="911"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proofErr w:type="spellStart"/>
            <w:r w:rsidRPr="00CF3E6A">
              <w:rPr>
                <w:rFonts w:eastAsia="Times New Roman" w:cs="Times New Roman"/>
                <w:color w:val="000000"/>
                <w:kern w:val="0"/>
                <w:sz w:val="18"/>
                <w:szCs w:val="18"/>
                <w:lang w:val="es-CL" w:eastAsia="es-CL"/>
                <w14:ligatures w14:val="none"/>
              </w:rPr>
              <w:t>Prinsendam</w:t>
            </w:r>
            <w:proofErr w:type="spellEnd"/>
          </w:p>
        </w:tc>
        <w:tc>
          <w:tcPr>
            <w:tcW w:w="683"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835</w:t>
            </w:r>
          </w:p>
        </w:tc>
        <w:tc>
          <w:tcPr>
            <w:tcW w:w="532"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37.983</w:t>
            </w:r>
          </w:p>
        </w:tc>
        <w:tc>
          <w:tcPr>
            <w:tcW w:w="532"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45,49</w:t>
            </w:r>
          </w:p>
        </w:tc>
        <w:tc>
          <w:tcPr>
            <w:tcW w:w="632"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1,78</w:t>
            </w:r>
          </w:p>
        </w:tc>
        <w:tc>
          <w:tcPr>
            <w:tcW w:w="578"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EEUU</w:t>
            </w:r>
          </w:p>
        </w:tc>
      </w:tr>
      <w:tr w:rsidR="00F70DF4" w:rsidRPr="00CF3E6A" w:rsidTr="00CF3E6A">
        <w:trPr>
          <w:trHeight w:val="315"/>
        </w:trPr>
        <w:tc>
          <w:tcPr>
            <w:tcW w:w="1132" w:type="pct"/>
            <w:vMerge/>
            <w:tcBorders>
              <w:top w:val="nil"/>
              <w:left w:val="single" w:sz="8" w:space="0" w:color="F4B083"/>
              <w:bottom w:val="single" w:sz="8" w:space="0" w:color="F4B083"/>
              <w:right w:val="single" w:sz="8" w:space="0" w:color="F4B083"/>
            </w:tcBorders>
            <w:vAlign w:val="center"/>
            <w:hideMark/>
          </w:tcPr>
          <w:p w:rsidR="00F70DF4" w:rsidRPr="00CF3E6A" w:rsidRDefault="00F70DF4" w:rsidP="00D35336">
            <w:pPr>
              <w:rPr>
                <w:rFonts w:eastAsia="Times New Roman" w:cs="Times New Roman"/>
                <w:b/>
                <w:bCs/>
                <w:color w:val="000000"/>
                <w:kern w:val="0"/>
                <w:sz w:val="18"/>
                <w:szCs w:val="18"/>
                <w:lang w:val="es-CL" w:eastAsia="es-CL"/>
                <w14:ligatures w14:val="none"/>
              </w:rPr>
            </w:pPr>
          </w:p>
        </w:tc>
        <w:tc>
          <w:tcPr>
            <w:tcW w:w="911"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proofErr w:type="spellStart"/>
            <w:r w:rsidRPr="00CF3E6A">
              <w:rPr>
                <w:rFonts w:eastAsia="Times New Roman" w:cs="Times New Roman"/>
                <w:color w:val="000000"/>
                <w:kern w:val="0"/>
                <w:sz w:val="18"/>
                <w:szCs w:val="18"/>
                <w:lang w:val="es-CL" w:eastAsia="es-CL"/>
                <w14:ligatures w14:val="none"/>
              </w:rPr>
              <w:t>Zaandam</w:t>
            </w:r>
            <w:proofErr w:type="spellEnd"/>
          </w:p>
        </w:tc>
        <w:tc>
          <w:tcPr>
            <w:tcW w:w="683"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1.432</w:t>
            </w:r>
          </w:p>
        </w:tc>
        <w:tc>
          <w:tcPr>
            <w:tcW w:w="532"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61.396</w:t>
            </w:r>
          </w:p>
        </w:tc>
        <w:tc>
          <w:tcPr>
            <w:tcW w:w="532"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42,87</w:t>
            </w:r>
          </w:p>
        </w:tc>
        <w:tc>
          <w:tcPr>
            <w:tcW w:w="632"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2,33</w:t>
            </w:r>
          </w:p>
        </w:tc>
        <w:tc>
          <w:tcPr>
            <w:tcW w:w="578"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EEUU</w:t>
            </w:r>
          </w:p>
        </w:tc>
      </w:tr>
      <w:tr w:rsidR="00F70DF4" w:rsidRPr="00CF3E6A" w:rsidTr="00CF3E6A">
        <w:trPr>
          <w:trHeight w:val="315"/>
        </w:trPr>
        <w:tc>
          <w:tcPr>
            <w:tcW w:w="1132" w:type="pct"/>
            <w:tcBorders>
              <w:top w:val="nil"/>
              <w:left w:val="single" w:sz="8" w:space="0" w:color="F4B083"/>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b/>
                <w:bCs/>
                <w:color w:val="000000"/>
                <w:kern w:val="0"/>
                <w:sz w:val="18"/>
                <w:szCs w:val="18"/>
                <w:lang w:val="es-CL" w:eastAsia="es-CL"/>
                <w14:ligatures w14:val="none"/>
              </w:rPr>
            </w:pPr>
            <w:proofErr w:type="spellStart"/>
            <w:r w:rsidRPr="00CF3E6A">
              <w:rPr>
                <w:rFonts w:eastAsia="Times New Roman" w:cs="Times New Roman"/>
                <w:b/>
                <w:bCs/>
                <w:color w:val="000000"/>
                <w:kern w:val="0"/>
                <w:sz w:val="18"/>
                <w:szCs w:val="18"/>
                <w:lang w:val="es-CL" w:eastAsia="es-CL"/>
                <w14:ligatures w14:val="none"/>
              </w:rPr>
              <w:t>Japan</w:t>
            </w:r>
            <w:proofErr w:type="spellEnd"/>
            <w:r w:rsidRPr="00CF3E6A">
              <w:rPr>
                <w:rFonts w:eastAsia="Times New Roman" w:cs="Times New Roman"/>
                <w:b/>
                <w:bCs/>
                <w:color w:val="000000"/>
                <w:kern w:val="0"/>
                <w:sz w:val="18"/>
                <w:szCs w:val="18"/>
                <w:lang w:val="es-CL" w:eastAsia="es-CL"/>
                <w14:ligatures w14:val="none"/>
              </w:rPr>
              <w:t xml:space="preserve"> Grace</w:t>
            </w:r>
          </w:p>
        </w:tc>
        <w:tc>
          <w:tcPr>
            <w:tcW w:w="911"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proofErr w:type="spellStart"/>
            <w:r w:rsidRPr="00CF3E6A">
              <w:rPr>
                <w:rFonts w:eastAsia="Times New Roman" w:cs="Times New Roman"/>
                <w:color w:val="000000"/>
                <w:kern w:val="0"/>
                <w:sz w:val="18"/>
                <w:szCs w:val="18"/>
                <w:lang w:val="es-CL" w:eastAsia="es-CL"/>
                <w14:ligatures w14:val="none"/>
              </w:rPr>
              <w:t>Ocean</w:t>
            </w:r>
            <w:proofErr w:type="spellEnd"/>
            <w:r w:rsidRPr="00CF3E6A">
              <w:rPr>
                <w:rFonts w:eastAsia="Times New Roman" w:cs="Times New Roman"/>
                <w:color w:val="000000"/>
                <w:kern w:val="0"/>
                <w:sz w:val="18"/>
                <w:szCs w:val="18"/>
                <w:lang w:val="es-CL" w:eastAsia="es-CL"/>
                <w14:ligatures w14:val="none"/>
              </w:rPr>
              <w:t xml:space="preserve"> </w:t>
            </w:r>
            <w:proofErr w:type="spellStart"/>
            <w:r w:rsidRPr="00CF3E6A">
              <w:rPr>
                <w:rFonts w:eastAsia="Times New Roman" w:cs="Times New Roman"/>
                <w:color w:val="000000"/>
                <w:kern w:val="0"/>
                <w:sz w:val="18"/>
                <w:szCs w:val="18"/>
                <w:lang w:val="es-CL" w:eastAsia="es-CL"/>
                <w14:ligatures w14:val="none"/>
              </w:rPr>
              <w:t>Dream</w:t>
            </w:r>
            <w:proofErr w:type="spellEnd"/>
          </w:p>
        </w:tc>
        <w:tc>
          <w:tcPr>
            <w:tcW w:w="683"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1.400</w:t>
            </w:r>
          </w:p>
        </w:tc>
        <w:tc>
          <w:tcPr>
            <w:tcW w:w="532"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35.265</w:t>
            </w:r>
          </w:p>
        </w:tc>
        <w:tc>
          <w:tcPr>
            <w:tcW w:w="532"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25,19</w:t>
            </w:r>
          </w:p>
        </w:tc>
        <w:tc>
          <w:tcPr>
            <w:tcW w:w="632"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2,92</w:t>
            </w:r>
          </w:p>
        </w:tc>
        <w:tc>
          <w:tcPr>
            <w:tcW w:w="578"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Japón</w:t>
            </w:r>
          </w:p>
        </w:tc>
      </w:tr>
      <w:tr w:rsidR="00F70DF4" w:rsidRPr="00CF3E6A" w:rsidTr="00CF3E6A">
        <w:trPr>
          <w:trHeight w:val="315"/>
        </w:trPr>
        <w:tc>
          <w:tcPr>
            <w:tcW w:w="1132" w:type="pct"/>
            <w:tcBorders>
              <w:top w:val="nil"/>
              <w:left w:val="single" w:sz="8" w:space="0" w:color="F4B083"/>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b/>
                <w:bCs/>
                <w:color w:val="000000"/>
                <w:kern w:val="0"/>
                <w:sz w:val="18"/>
                <w:szCs w:val="18"/>
                <w:lang w:val="es-CL" w:eastAsia="es-CL"/>
                <w14:ligatures w14:val="none"/>
              </w:rPr>
            </w:pPr>
            <w:proofErr w:type="spellStart"/>
            <w:r w:rsidRPr="00CF3E6A">
              <w:rPr>
                <w:rFonts w:eastAsia="Times New Roman" w:cs="Times New Roman"/>
                <w:b/>
                <w:bCs/>
                <w:color w:val="000000"/>
                <w:kern w:val="0"/>
                <w:sz w:val="18"/>
                <w:szCs w:val="18"/>
                <w:lang w:val="es-CL" w:eastAsia="es-CL"/>
                <w14:ligatures w14:val="none"/>
              </w:rPr>
              <w:t>National</w:t>
            </w:r>
            <w:proofErr w:type="spellEnd"/>
            <w:r w:rsidRPr="00CF3E6A">
              <w:rPr>
                <w:rFonts w:eastAsia="Times New Roman" w:cs="Times New Roman"/>
                <w:b/>
                <w:bCs/>
                <w:color w:val="000000"/>
                <w:kern w:val="0"/>
                <w:sz w:val="18"/>
                <w:szCs w:val="18"/>
                <w:lang w:val="es-CL" w:eastAsia="es-CL"/>
                <w14:ligatures w14:val="none"/>
              </w:rPr>
              <w:t xml:space="preserve"> </w:t>
            </w:r>
            <w:proofErr w:type="spellStart"/>
            <w:r w:rsidRPr="00CF3E6A">
              <w:rPr>
                <w:rFonts w:eastAsia="Times New Roman" w:cs="Times New Roman"/>
                <w:b/>
                <w:bCs/>
                <w:color w:val="000000"/>
                <w:kern w:val="0"/>
                <w:sz w:val="18"/>
                <w:szCs w:val="18"/>
                <w:lang w:val="es-CL" w:eastAsia="es-CL"/>
                <w14:ligatures w14:val="none"/>
              </w:rPr>
              <w:t>Geographic</w:t>
            </w:r>
            <w:proofErr w:type="spellEnd"/>
            <w:r w:rsidRPr="00CF3E6A">
              <w:rPr>
                <w:rFonts w:eastAsia="Times New Roman" w:cs="Times New Roman"/>
                <w:b/>
                <w:bCs/>
                <w:color w:val="000000"/>
                <w:kern w:val="0"/>
                <w:sz w:val="18"/>
                <w:szCs w:val="18"/>
                <w:lang w:val="es-CL" w:eastAsia="es-CL"/>
                <w14:ligatures w14:val="none"/>
              </w:rPr>
              <w:t xml:space="preserve"> </w:t>
            </w:r>
            <w:proofErr w:type="spellStart"/>
            <w:r w:rsidRPr="00CF3E6A">
              <w:rPr>
                <w:rFonts w:eastAsia="Times New Roman" w:cs="Times New Roman"/>
                <w:b/>
                <w:bCs/>
                <w:color w:val="000000"/>
                <w:kern w:val="0"/>
                <w:sz w:val="18"/>
                <w:szCs w:val="18"/>
                <w:lang w:val="es-CL" w:eastAsia="es-CL"/>
                <w14:ligatures w14:val="none"/>
              </w:rPr>
              <w:t>Expedition</w:t>
            </w:r>
            <w:proofErr w:type="spellEnd"/>
          </w:p>
        </w:tc>
        <w:tc>
          <w:tcPr>
            <w:tcW w:w="911"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proofErr w:type="spellStart"/>
            <w:r w:rsidRPr="00CF3E6A">
              <w:rPr>
                <w:rFonts w:eastAsia="Times New Roman" w:cs="Times New Roman"/>
                <w:color w:val="000000"/>
                <w:kern w:val="0"/>
                <w:sz w:val="18"/>
                <w:szCs w:val="18"/>
                <w:lang w:val="es-CL" w:eastAsia="es-CL"/>
                <w14:ligatures w14:val="none"/>
              </w:rPr>
              <w:t>National</w:t>
            </w:r>
            <w:proofErr w:type="spellEnd"/>
            <w:r w:rsidRPr="00CF3E6A">
              <w:rPr>
                <w:rFonts w:eastAsia="Times New Roman" w:cs="Times New Roman"/>
                <w:color w:val="000000"/>
                <w:kern w:val="0"/>
                <w:sz w:val="18"/>
                <w:szCs w:val="18"/>
                <w:lang w:val="es-CL" w:eastAsia="es-CL"/>
                <w14:ligatures w14:val="none"/>
              </w:rPr>
              <w:t xml:space="preserve"> </w:t>
            </w:r>
            <w:proofErr w:type="spellStart"/>
            <w:r w:rsidRPr="00CF3E6A">
              <w:rPr>
                <w:rFonts w:eastAsia="Times New Roman" w:cs="Times New Roman"/>
                <w:color w:val="000000"/>
                <w:kern w:val="0"/>
                <w:sz w:val="18"/>
                <w:szCs w:val="18"/>
                <w:lang w:val="es-CL" w:eastAsia="es-CL"/>
                <w14:ligatures w14:val="none"/>
              </w:rPr>
              <w:t>Geographic</w:t>
            </w:r>
            <w:proofErr w:type="spellEnd"/>
            <w:r w:rsidRPr="00CF3E6A">
              <w:rPr>
                <w:rFonts w:eastAsia="Times New Roman" w:cs="Times New Roman"/>
                <w:color w:val="000000"/>
                <w:kern w:val="0"/>
                <w:sz w:val="18"/>
                <w:szCs w:val="18"/>
                <w:lang w:val="es-CL" w:eastAsia="es-CL"/>
                <w14:ligatures w14:val="none"/>
              </w:rPr>
              <w:t xml:space="preserve"> Explorer</w:t>
            </w:r>
          </w:p>
        </w:tc>
        <w:tc>
          <w:tcPr>
            <w:tcW w:w="683"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159</w:t>
            </w:r>
          </w:p>
        </w:tc>
        <w:tc>
          <w:tcPr>
            <w:tcW w:w="532"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6.471</w:t>
            </w:r>
          </w:p>
        </w:tc>
        <w:tc>
          <w:tcPr>
            <w:tcW w:w="532"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40,70</w:t>
            </w:r>
          </w:p>
        </w:tc>
        <w:tc>
          <w:tcPr>
            <w:tcW w:w="632"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1,85</w:t>
            </w:r>
          </w:p>
        </w:tc>
        <w:tc>
          <w:tcPr>
            <w:tcW w:w="578"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EEUU</w:t>
            </w:r>
          </w:p>
        </w:tc>
      </w:tr>
      <w:tr w:rsidR="00F70DF4" w:rsidRPr="00CF3E6A" w:rsidTr="00CF3E6A">
        <w:trPr>
          <w:trHeight w:val="315"/>
        </w:trPr>
        <w:tc>
          <w:tcPr>
            <w:tcW w:w="1132" w:type="pct"/>
            <w:tcBorders>
              <w:top w:val="nil"/>
              <w:left w:val="single" w:sz="8" w:space="0" w:color="F4B083"/>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b/>
                <w:bCs/>
                <w:color w:val="000000"/>
                <w:kern w:val="0"/>
                <w:sz w:val="18"/>
                <w:szCs w:val="18"/>
                <w:lang w:val="es-CL" w:eastAsia="es-CL"/>
                <w14:ligatures w14:val="none"/>
              </w:rPr>
            </w:pPr>
            <w:proofErr w:type="spellStart"/>
            <w:r w:rsidRPr="00CF3E6A">
              <w:rPr>
                <w:rFonts w:eastAsia="Times New Roman" w:cs="Times New Roman"/>
                <w:b/>
                <w:bCs/>
                <w:color w:val="000000"/>
                <w:kern w:val="0"/>
                <w:sz w:val="18"/>
                <w:szCs w:val="18"/>
                <w:lang w:val="es-CL" w:eastAsia="es-CL"/>
                <w14:ligatures w14:val="none"/>
              </w:rPr>
              <w:t>Norwegian</w:t>
            </w:r>
            <w:proofErr w:type="spellEnd"/>
            <w:r w:rsidRPr="00CF3E6A">
              <w:rPr>
                <w:rFonts w:eastAsia="Times New Roman" w:cs="Times New Roman"/>
                <w:b/>
                <w:bCs/>
                <w:color w:val="000000"/>
                <w:kern w:val="0"/>
                <w:sz w:val="18"/>
                <w:szCs w:val="18"/>
                <w:lang w:val="es-CL" w:eastAsia="es-CL"/>
                <w14:ligatures w14:val="none"/>
              </w:rPr>
              <w:t xml:space="preserve"> </w:t>
            </w:r>
            <w:proofErr w:type="spellStart"/>
            <w:r w:rsidRPr="00CF3E6A">
              <w:rPr>
                <w:rFonts w:eastAsia="Times New Roman" w:cs="Times New Roman"/>
                <w:b/>
                <w:bCs/>
                <w:color w:val="000000"/>
                <w:kern w:val="0"/>
                <w:sz w:val="18"/>
                <w:szCs w:val="18"/>
                <w:lang w:val="es-CL" w:eastAsia="es-CL"/>
                <w14:ligatures w14:val="none"/>
              </w:rPr>
              <w:t>Cruise</w:t>
            </w:r>
            <w:proofErr w:type="spellEnd"/>
            <w:r w:rsidRPr="00CF3E6A">
              <w:rPr>
                <w:rFonts w:eastAsia="Times New Roman" w:cs="Times New Roman"/>
                <w:b/>
                <w:bCs/>
                <w:color w:val="000000"/>
                <w:kern w:val="0"/>
                <w:sz w:val="18"/>
                <w:szCs w:val="18"/>
                <w:lang w:val="es-CL" w:eastAsia="es-CL"/>
                <w14:ligatures w14:val="none"/>
              </w:rPr>
              <w:t xml:space="preserve"> Line</w:t>
            </w:r>
          </w:p>
        </w:tc>
        <w:tc>
          <w:tcPr>
            <w:tcW w:w="911"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proofErr w:type="spellStart"/>
            <w:r w:rsidRPr="00CF3E6A">
              <w:rPr>
                <w:rFonts w:eastAsia="Times New Roman" w:cs="Times New Roman"/>
                <w:color w:val="000000"/>
                <w:kern w:val="0"/>
                <w:sz w:val="18"/>
                <w:szCs w:val="18"/>
                <w:lang w:val="es-CL" w:eastAsia="es-CL"/>
                <w14:ligatures w14:val="none"/>
              </w:rPr>
              <w:t>Norwegian</w:t>
            </w:r>
            <w:proofErr w:type="spellEnd"/>
            <w:r w:rsidRPr="00CF3E6A">
              <w:rPr>
                <w:rFonts w:eastAsia="Times New Roman" w:cs="Times New Roman"/>
                <w:color w:val="000000"/>
                <w:kern w:val="0"/>
                <w:sz w:val="18"/>
                <w:szCs w:val="18"/>
                <w:lang w:val="es-CL" w:eastAsia="es-CL"/>
                <w14:ligatures w14:val="none"/>
              </w:rPr>
              <w:t xml:space="preserve"> </w:t>
            </w:r>
            <w:proofErr w:type="spellStart"/>
            <w:r w:rsidRPr="00CF3E6A">
              <w:rPr>
                <w:rFonts w:eastAsia="Times New Roman" w:cs="Times New Roman"/>
                <w:color w:val="000000"/>
                <w:kern w:val="0"/>
                <w:sz w:val="18"/>
                <w:szCs w:val="18"/>
                <w:lang w:val="es-CL" w:eastAsia="es-CL"/>
                <w14:ligatures w14:val="none"/>
              </w:rPr>
              <w:t>Sun</w:t>
            </w:r>
            <w:proofErr w:type="spellEnd"/>
          </w:p>
        </w:tc>
        <w:tc>
          <w:tcPr>
            <w:tcW w:w="683"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1.936</w:t>
            </w:r>
          </w:p>
        </w:tc>
        <w:tc>
          <w:tcPr>
            <w:tcW w:w="532"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78.309</w:t>
            </w:r>
          </w:p>
        </w:tc>
        <w:tc>
          <w:tcPr>
            <w:tcW w:w="532"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40,45</w:t>
            </w:r>
          </w:p>
        </w:tc>
        <w:tc>
          <w:tcPr>
            <w:tcW w:w="632"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2,42</w:t>
            </w:r>
          </w:p>
        </w:tc>
        <w:tc>
          <w:tcPr>
            <w:tcW w:w="578"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EEUU</w:t>
            </w:r>
          </w:p>
        </w:tc>
      </w:tr>
      <w:tr w:rsidR="00F70DF4" w:rsidRPr="00CF3E6A" w:rsidTr="00CF3E6A">
        <w:trPr>
          <w:trHeight w:val="315"/>
        </w:trPr>
        <w:tc>
          <w:tcPr>
            <w:tcW w:w="1132" w:type="pct"/>
            <w:tcBorders>
              <w:top w:val="nil"/>
              <w:left w:val="single" w:sz="8" w:space="0" w:color="F4B083"/>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b/>
                <w:bCs/>
                <w:color w:val="000000"/>
                <w:kern w:val="0"/>
                <w:sz w:val="18"/>
                <w:szCs w:val="18"/>
                <w:lang w:val="es-CL" w:eastAsia="es-CL"/>
                <w14:ligatures w14:val="none"/>
              </w:rPr>
            </w:pPr>
            <w:r w:rsidRPr="00CF3E6A">
              <w:rPr>
                <w:rFonts w:eastAsia="Times New Roman" w:cs="Times New Roman"/>
                <w:b/>
                <w:bCs/>
                <w:color w:val="000000"/>
                <w:kern w:val="0"/>
                <w:sz w:val="18"/>
                <w:szCs w:val="18"/>
                <w:lang w:val="es-CL" w:eastAsia="es-CL"/>
                <w14:ligatures w14:val="none"/>
              </w:rPr>
              <w:t xml:space="preserve">NYK </w:t>
            </w:r>
            <w:proofErr w:type="spellStart"/>
            <w:r w:rsidRPr="00CF3E6A">
              <w:rPr>
                <w:rFonts w:eastAsia="Times New Roman" w:cs="Times New Roman"/>
                <w:b/>
                <w:bCs/>
                <w:color w:val="000000"/>
                <w:kern w:val="0"/>
                <w:sz w:val="18"/>
                <w:szCs w:val="18"/>
                <w:lang w:val="es-CL" w:eastAsia="es-CL"/>
                <w14:ligatures w14:val="none"/>
              </w:rPr>
              <w:t>Cruises</w:t>
            </w:r>
            <w:proofErr w:type="spellEnd"/>
          </w:p>
        </w:tc>
        <w:tc>
          <w:tcPr>
            <w:tcW w:w="911"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proofErr w:type="spellStart"/>
            <w:r w:rsidRPr="00CF3E6A">
              <w:rPr>
                <w:rFonts w:eastAsia="Times New Roman" w:cs="Times New Roman"/>
                <w:color w:val="000000"/>
                <w:kern w:val="0"/>
                <w:sz w:val="18"/>
                <w:szCs w:val="18"/>
                <w:lang w:val="es-CL" w:eastAsia="es-CL"/>
                <w14:ligatures w14:val="none"/>
              </w:rPr>
              <w:t>Asuka</w:t>
            </w:r>
            <w:proofErr w:type="spellEnd"/>
            <w:r w:rsidRPr="00CF3E6A">
              <w:rPr>
                <w:rFonts w:eastAsia="Times New Roman" w:cs="Times New Roman"/>
                <w:color w:val="000000"/>
                <w:kern w:val="0"/>
                <w:sz w:val="18"/>
                <w:szCs w:val="18"/>
                <w:lang w:val="es-CL" w:eastAsia="es-CL"/>
                <w14:ligatures w14:val="none"/>
              </w:rPr>
              <w:t xml:space="preserve"> II</w:t>
            </w:r>
          </w:p>
        </w:tc>
        <w:tc>
          <w:tcPr>
            <w:tcW w:w="683"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870</w:t>
            </w:r>
          </w:p>
        </w:tc>
        <w:tc>
          <w:tcPr>
            <w:tcW w:w="532"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50.142</w:t>
            </w:r>
          </w:p>
        </w:tc>
        <w:tc>
          <w:tcPr>
            <w:tcW w:w="532"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57,63</w:t>
            </w:r>
          </w:p>
        </w:tc>
        <w:tc>
          <w:tcPr>
            <w:tcW w:w="632"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1,85</w:t>
            </w:r>
          </w:p>
        </w:tc>
        <w:tc>
          <w:tcPr>
            <w:tcW w:w="578"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Japón</w:t>
            </w:r>
          </w:p>
        </w:tc>
      </w:tr>
      <w:tr w:rsidR="00F70DF4" w:rsidRPr="00CF3E6A" w:rsidTr="00CF3E6A">
        <w:trPr>
          <w:trHeight w:val="315"/>
        </w:trPr>
        <w:tc>
          <w:tcPr>
            <w:tcW w:w="1132" w:type="pct"/>
            <w:vMerge w:val="restart"/>
            <w:tcBorders>
              <w:top w:val="nil"/>
              <w:left w:val="single" w:sz="8" w:space="0" w:color="F4B083"/>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b/>
                <w:bCs/>
                <w:color w:val="000000"/>
                <w:kern w:val="0"/>
                <w:sz w:val="18"/>
                <w:szCs w:val="18"/>
                <w:lang w:val="es-CL" w:eastAsia="es-CL"/>
                <w14:ligatures w14:val="none"/>
              </w:rPr>
            </w:pPr>
            <w:proofErr w:type="spellStart"/>
            <w:r w:rsidRPr="00CF3E6A">
              <w:rPr>
                <w:rFonts w:eastAsia="Times New Roman" w:cs="Times New Roman"/>
                <w:b/>
                <w:bCs/>
                <w:color w:val="000000"/>
                <w:kern w:val="0"/>
                <w:sz w:val="18"/>
                <w:szCs w:val="18"/>
                <w:lang w:val="es-CL" w:eastAsia="es-CL"/>
                <w14:ligatures w14:val="none"/>
              </w:rPr>
              <w:t>Oceania</w:t>
            </w:r>
            <w:proofErr w:type="spellEnd"/>
            <w:r w:rsidRPr="00CF3E6A">
              <w:rPr>
                <w:rFonts w:eastAsia="Times New Roman" w:cs="Times New Roman"/>
                <w:b/>
                <w:bCs/>
                <w:color w:val="000000"/>
                <w:kern w:val="0"/>
                <w:sz w:val="18"/>
                <w:szCs w:val="18"/>
                <w:lang w:val="es-CL" w:eastAsia="es-CL"/>
                <w14:ligatures w14:val="none"/>
              </w:rPr>
              <w:t xml:space="preserve"> </w:t>
            </w:r>
            <w:proofErr w:type="spellStart"/>
            <w:r w:rsidRPr="00CF3E6A">
              <w:rPr>
                <w:rFonts w:eastAsia="Times New Roman" w:cs="Times New Roman"/>
                <w:b/>
                <w:bCs/>
                <w:color w:val="000000"/>
                <w:kern w:val="0"/>
                <w:sz w:val="18"/>
                <w:szCs w:val="18"/>
                <w:lang w:val="es-CL" w:eastAsia="es-CL"/>
                <w14:ligatures w14:val="none"/>
              </w:rPr>
              <w:t>Cruise</w:t>
            </w:r>
            <w:proofErr w:type="spellEnd"/>
            <w:r w:rsidRPr="00CF3E6A">
              <w:rPr>
                <w:rFonts w:eastAsia="Times New Roman" w:cs="Times New Roman"/>
                <w:b/>
                <w:bCs/>
                <w:color w:val="000000"/>
                <w:kern w:val="0"/>
                <w:sz w:val="18"/>
                <w:szCs w:val="18"/>
                <w:lang w:val="es-CL" w:eastAsia="es-CL"/>
                <w14:ligatures w14:val="none"/>
              </w:rPr>
              <w:t xml:space="preserve"> Line</w:t>
            </w:r>
          </w:p>
        </w:tc>
        <w:tc>
          <w:tcPr>
            <w:tcW w:w="911"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Marina</w:t>
            </w:r>
          </w:p>
        </w:tc>
        <w:tc>
          <w:tcPr>
            <w:tcW w:w="683"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1.250</w:t>
            </w:r>
          </w:p>
        </w:tc>
        <w:tc>
          <w:tcPr>
            <w:tcW w:w="532"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66.084</w:t>
            </w:r>
          </w:p>
        </w:tc>
        <w:tc>
          <w:tcPr>
            <w:tcW w:w="532"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52,87</w:t>
            </w:r>
          </w:p>
        </w:tc>
        <w:tc>
          <w:tcPr>
            <w:tcW w:w="632"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1,56</w:t>
            </w:r>
          </w:p>
        </w:tc>
        <w:tc>
          <w:tcPr>
            <w:tcW w:w="578"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EEUU</w:t>
            </w:r>
          </w:p>
        </w:tc>
      </w:tr>
      <w:tr w:rsidR="00F70DF4" w:rsidRPr="00CF3E6A" w:rsidTr="00CF3E6A">
        <w:trPr>
          <w:trHeight w:val="315"/>
        </w:trPr>
        <w:tc>
          <w:tcPr>
            <w:tcW w:w="1132" w:type="pct"/>
            <w:vMerge/>
            <w:tcBorders>
              <w:top w:val="nil"/>
              <w:left w:val="single" w:sz="8" w:space="0" w:color="F4B083"/>
              <w:bottom w:val="single" w:sz="8" w:space="0" w:color="F4B083"/>
              <w:right w:val="single" w:sz="8" w:space="0" w:color="F4B083"/>
            </w:tcBorders>
            <w:vAlign w:val="center"/>
            <w:hideMark/>
          </w:tcPr>
          <w:p w:rsidR="00F70DF4" w:rsidRPr="00CF3E6A" w:rsidRDefault="00F70DF4" w:rsidP="00D35336">
            <w:pPr>
              <w:rPr>
                <w:rFonts w:eastAsia="Times New Roman" w:cs="Times New Roman"/>
                <w:b/>
                <w:bCs/>
                <w:color w:val="000000"/>
                <w:kern w:val="0"/>
                <w:sz w:val="18"/>
                <w:szCs w:val="18"/>
                <w:lang w:val="es-CL" w:eastAsia="es-CL"/>
                <w14:ligatures w14:val="none"/>
              </w:rPr>
            </w:pPr>
          </w:p>
        </w:tc>
        <w:tc>
          <w:tcPr>
            <w:tcW w:w="911"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proofErr w:type="spellStart"/>
            <w:r w:rsidRPr="00CF3E6A">
              <w:rPr>
                <w:rFonts w:eastAsia="Times New Roman" w:cs="Times New Roman"/>
                <w:color w:val="000000"/>
                <w:kern w:val="0"/>
                <w:sz w:val="18"/>
                <w:szCs w:val="18"/>
                <w:lang w:val="es-CL" w:eastAsia="es-CL"/>
                <w14:ligatures w14:val="none"/>
              </w:rPr>
              <w:t>Regatta</w:t>
            </w:r>
            <w:proofErr w:type="spellEnd"/>
          </w:p>
        </w:tc>
        <w:tc>
          <w:tcPr>
            <w:tcW w:w="683"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684</w:t>
            </w:r>
          </w:p>
        </w:tc>
        <w:tc>
          <w:tcPr>
            <w:tcW w:w="532"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30.277</w:t>
            </w:r>
          </w:p>
        </w:tc>
        <w:tc>
          <w:tcPr>
            <w:tcW w:w="532"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44,26</w:t>
            </w:r>
          </w:p>
        </w:tc>
        <w:tc>
          <w:tcPr>
            <w:tcW w:w="632"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1,71</w:t>
            </w:r>
          </w:p>
        </w:tc>
        <w:tc>
          <w:tcPr>
            <w:tcW w:w="578"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EEUU</w:t>
            </w:r>
          </w:p>
        </w:tc>
      </w:tr>
      <w:tr w:rsidR="00F70DF4" w:rsidRPr="00CF3E6A" w:rsidTr="00CF3E6A">
        <w:trPr>
          <w:trHeight w:val="315"/>
        </w:trPr>
        <w:tc>
          <w:tcPr>
            <w:tcW w:w="1132" w:type="pct"/>
            <w:tcBorders>
              <w:top w:val="nil"/>
              <w:left w:val="single" w:sz="8" w:space="0" w:color="F4B083"/>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b/>
                <w:bCs/>
                <w:color w:val="000000"/>
                <w:kern w:val="0"/>
                <w:sz w:val="18"/>
                <w:szCs w:val="18"/>
                <w:lang w:val="es-CL" w:eastAsia="es-CL"/>
                <w14:ligatures w14:val="none"/>
              </w:rPr>
            </w:pPr>
            <w:r w:rsidRPr="00CF3E6A">
              <w:rPr>
                <w:rFonts w:eastAsia="Times New Roman" w:cs="Times New Roman"/>
                <w:b/>
                <w:bCs/>
                <w:color w:val="000000"/>
                <w:kern w:val="0"/>
                <w:sz w:val="18"/>
                <w:szCs w:val="18"/>
                <w:lang w:val="es-CL" w:eastAsia="es-CL"/>
                <w14:ligatures w14:val="none"/>
              </w:rPr>
              <w:t xml:space="preserve">P&amp;O </w:t>
            </w:r>
            <w:proofErr w:type="spellStart"/>
            <w:r w:rsidRPr="00CF3E6A">
              <w:rPr>
                <w:rFonts w:eastAsia="Times New Roman" w:cs="Times New Roman"/>
                <w:b/>
                <w:bCs/>
                <w:color w:val="000000"/>
                <w:kern w:val="0"/>
                <w:sz w:val="18"/>
                <w:szCs w:val="18"/>
                <w:lang w:val="es-CL" w:eastAsia="es-CL"/>
                <w14:ligatures w14:val="none"/>
              </w:rPr>
              <w:t>Cruises</w:t>
            </w:r>
            <w:proofErr w:type="spellEnd"/>
          </w:p>
        </w:tc>
        <w:tc>
          <w:tcPr>
            <w:tcW w:w="911"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Arcadia</w:t>
            </w:r>
          </w:p>
        </w:tc>
        <w:tc>
          <w:tcPr>
            <w:tcW w:w="683"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2.016</w:t>
            </w:r>
          </w:p>
        </w:tc>
        <w:tc>
          <w:tcPr>
            <w:tcW w:w="532"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84.342</w:t>
            </w:r>
          </w:p>
        </w:tc>
        <w:tc>
          <w:tcPr>
            <w:tcW w:w="532"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41,84</w:t>
            </w:r>
          </w:p>
        </w:tc>
        <w:tc>
          <w:tcPr>
            <w:tcW w:w="632"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2,29</w:t>
            </w:r>
          </w:p>
        </w:tc>
        <w:tc>
          <w:tcPr>
            <w:tcW w:w="578"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Reino Unido</w:t>
            </w:r>
          </w:p>
        </w:tc>
      </w:tr>
      <w:tr w:rsidR="00F70DF4" w:rsidRPr="00CF3E6A" w:rsidTr="00CF3E6A">
        <w:trPr>
          <w:trHeight w:val="315"/>
        </w:trPr>
        <w:tc>
          <w:tcPr>
            <w:tcW w:w="1132" w:type="pct"/>
            <w:tcBorders>
              <w:top w:val="nil"/>
              <w:left w:val="single" w:sz="8" w:space="0" w:color="F4B083"/>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b/>
                <w:bCs/>
                <w:color w:val="000000"/>
                <w:kern w:val="0"/>
                <w:sz w:val="18"/>
                <w:szCs w:val="18"/>
                <w:lang w:val="es-CL" w:eastAsia="es-CL"/>
                <w14:ligatures w14:val="none"/>
              </w:rPr>
            </w:pPr>
            <w:r w:rsidRPr="00CF3E6A">
              <w:rPr>
                <w:rFonts w:eastAsia="Times New Roman" w:cs="Times New Roman"/>
                <w:b/>
                <w:bCs/>
                <w:color w:val="000000"/>
                <w:kern w:val="0"/>
                <w:sz w:val="18"/>
                <w:szCs w:val="18"/>
                <w:lang w:val="es-CL" w:eastAsia="es-CL"/>
                <w14:ligatures w14:val="none"/>
              </w:rPr>
              <w:t>Phoenix</w:t>
            </w:r>
          </w:p>
        </w:tc>
        <w:tc>
          <w:tcPr>
            <w:tcW w:w="911"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proofErr w:type="spellStart"/>
            <w:r w:rsidRPr="00CF3E6A">
              <w:rPr>
                <w:rFonts w:eastAsia="Times New Roman" w:cs="Times New Roman"/>
                <w:color w:val="000000"/>
                <w:kern w:val="0"/>
                <w:sz w:val="18"/>
                <w:szCs w:val="18"/>
                <w:lang w:val="es-CL" w:eastAsia="es-CL"/>
                <w14:ligatures w14:val="none"/>
              </w:rPr>
              <w:t>Amadea</w:t>
            </w:r>
            <w:proofErr w:type="spellEnd"/>
          </w:p>
        </w:tc>
        <w:tc>
          <w:tcPr>
            <w:tcW w:w="683"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600</w:t>
            </w:r>
          </w:p>
        </w:tc>
        <w:tc>
          <w:tcPr>
            <w:tcW w:w="532"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29.008</w:t>
            </w:r>
          </w:p>
        </w:tc>
        <w:tc>
          <w:tcPr>
            <w:tcW w:w="532"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48,35</w:t>
            </w:r>
          </w:p>
        </w:tc>
        <w:tc>
          <w:tcPr>
            <w:tcW w:w="632"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2,22</w:t>
            </w:r>
          </w:p>
        </w:tc>
        <w:tc>
          <w:tcPr>
            <w:tcW w:w="578"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Alemania</w:t>
            </w:r>
          </w:p>
        </w:tc>
      </w:tr>
      <w:tr w:rsidR="00F70DF4" w:rsidRPr="00CF3E6A" w:rsidTr="00CF3E6A">
        <w:trPr>
          <w:trHeight w:val="315"/>
        </w:trPr>
        <w:tc>
          <w:tcPr>
            <w:tcW w:w="1132" w:type="pct"/>
            <w:vMerge w:val="restart"/>
            <w:tcBorders>
              <w:top w:val="nil"/>
              <w:left w:val="single" w:sz="8" w:space="0" w:color="F4B083"/>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b/>
                <w:bCs/>
                <w:color w:val="000000"/>
                <w:kern w:val="0"/>
                <w:sz w:val="18"/>
                <w:szCs w:val="18"/>
                <w:lang w:val="es-CL" w:eastAsia="es-CL"/>
                <w14:ligatures w14:val="none"/>
              </w:rPr>
            </w:pPr>
            <w:proofErr w:type="spellStart"/>
            <w:r w:rsidRPr="00CF3E6A">
              <w:rPr>
                <w:rFonts w:eastAsia="Times New Roman" w:cs="Times New Roman"/>
                <w:b/>
                <w:bCs/>
                <w:color w:val="000000"/>
                <w:kern w:val="0"/>
                <w:sz w:val="18"/>
                <w:szCs w:val="18"/>
                <w:lang w:val="es-CL" w:eastAsia="es-CL"/>
                <w14:ligatures w14:val="none"/>
              </w:rPr>
              <w:t>Princess</w:t>
            </w:r>
            <w:proofErr w:type="spellEnd"/>
            <w:r w:rsidRPr="00CF3E6A">
              <w:rPr>
                <w:rFonts w:eastAsia="Times New Roman" w:cs="Times New Roman"/>
                <w:b/>
                <w:bCs/>
                <w:color w:val="000000"/>
                <w:kern w:val="0"/>
                <w:sz w:val="18"/>
                <w:szCs w:val="18"/>
                <w:lang w:val="es-CL" w:eastAsia="es-CL"/>
                <w14:ligatures w14:val="none"/>
              </w:rPr>
              <w:t xml:space="preserve"> </w:t>
            </w:r>
            <w:proofErr w:type="spellStart"/>
            <w:r w:rsidRPr="00CF3E6A">
              <w:rPr>
                <w:rFonts w:eastAsia="Times New Roman" w:cs="Times New Roman"/>
                <w:b/>
                <w:bCs/>
                <w:color w:val="000000"/>
                <w:kern w:val="0"/>
                <w:sz w:val="18"/>
                <w:szCs w:val="18"/>
                <w:lang w:val="es-CL" w:eastAsia="es-CL"/>
                <w14:ligatures w14:val="none"/>
              </w:rPr>
              <w:t>Cruise</w:t>
            </w:r>
            <w:proofErr w:type="spellEnd"/>
            <w:r w:rsidRPr="00CF3E6A">
              <w:rPr>
                <w:rFonts w:eastAsia="Times New Roman" w:cs="Times New Roman"/>
                <w:b/>
                <w:bCs/>
                <w:color w:val="000000"/>
                <w:kern w:val="0"/>
                <w:sz w:val="18"/>
                <w:szCs w:val="18"/>
                <w:lang w:val="es-CL" w:eastAsia="es-CL"/>
                <w14:ligatures w14:val="none"/>
              </w:rPr>
              <w:t xml:space="preserve"> Line</w:t>
            </w:r>
          </w:p>
        </w:tc>
        <w:tc>
          <w:tcPr>
            <w:tcW w:w="911"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proofErr w:type="spellStart"/>
            <w:r w:rsidRPr="00CF3E6A">
              <w:rPr>
                <w:rFonts w:eastAsia="Times New Roman" w:cs="Times New Roman"/>
                <w:color w:val="000000"/>
                <w:kern w:val="0"/>
                <w:sz w:val="18"/>
                <w:szCs w:val="18"/>
                <w:lang w:val="es-CL" w:eastAsia="es-CL"/>
                <w14:ligatures w14:val="none"/>
              </w:rPr>
              <w:t>Ocean</w:t>
            </w:r>
            <w:proofErr w:type="spellEnd"/>
            <w:r w:rsidRPr="00CF3E6A">
              <w:rPr>
                <w:rFonts w:eastAsia="Times New Roman" w:cs="Times New Roman"/>
                <w:color w:val="000000"/>
                <w:kern w:val="0"/>
                <w:sz w:val="18"/>
                <w:szCs w:val="18"/>
                <w:lang w:val="es-CL" w:eastAsia="es-CL"/>
                <w14:ligatures w14:val="none"/>
              </w:rPr>
              <w:t xml:space="preserve"> </w:t>
            </w:r>
            <w:proofErr w:type="spellStart"/>
            <w:r w:rsidRPr="00CF3E6A">
              <w:rPr>
                <w:rFonts w:eastAsia="Times New Roman" w:cs="Times New Roman"/>
                <w:color w:val="000000"/>
                <w:kern w:val="0"/>
                <w:sz w:val="18"/>
                <w:szCs w:val="18"/>
                <w:lang w:val="es-CL" w:eastAsia="es-CL"/>
                <w14:ligatures w14:val="none"/>
              </w:rPr>
              <w:t>Princess</w:t>
            </w:r>
            <w:proofErr w:type="spellEnd"/>
          </w:p>
        </w:tc>
        <w:tc>
          <w:tcPr>
            <w:tcW w:w="683"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672</w:t>
            </w:r>
          </w:p>
        </w:tc>
        <w:tc>
          <w:tcPr>
            <w:tcW w:w="532"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30.277</w:t>
            </w:r>
          </w:p>
        </w:tc>
        <w:tc>
          <w:tcPr>
            <w:tcW w:w="532"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45,06</w:t>
            </w:r>
          </w:p>
        </w:tc>
        <w:tc>
          <w:tcPr>
            <w:tcW w:w="632"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1,79</w:t>
            </w:r>
          </w:p>
        </w:tc>
        <w:tc>
          <w:tcPr>
            <w:tcW w:w="578"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EEUU</w:t>
            </w:r>
          </w:p>
        </w:tc>
      </w:tr>
      <w:tr w:rsidR="00F70DF4" w:rsidRPr="00CF3E6A" w:rsidTr="00CF3E6A">
        <w:trPr>
          <w:trHeight w:val="315"/>
        </w:trPr>
        <w:tc>
          <w:tcPr>
            <w:tcW w:w="1132" w:type="pct"/>
            <w:vMerge/>
            <w:tcBorders>
              <w:top w:val="nil"/>
              <w:left w:val="single" w:sz="8" w:space="0" w:color="F4B083"/>
              <w:bottom w:val="single" w:sz="8" w:space="0" w:color="F4B083"/>
              <w:right w:val="single" w:sz="8" w:space="0" w:color="F4B083"/>
            </w:tcBorders>
            <w:vAlign w:val="center"/>
            <w:hideMark/>
          </w:tcPr>
          <w:p w:rsidR="00F70DF4" w:rsidRPr="00CF3E6A" w:rsidRDefault="00F70DF4" w:rsidP="00D35336">
            <w:pPr>
              <w:rPr>
                <w:rFonts w:eastAsia="Times New Roman" w:cs="Times New Roman"/>
                <w:b/>
                <w:bCs/>
                <w:color w:val="000000"/>
                <w:kern w:val="0"/>
                <w:sz w:val="18"/>
                <w:szCs w:val="18"/>
                <w:lang w:val="es-CL" w:eastAsia="es-CL"/>
                <w14:ligatures w14:val="none"/>
              </w:rPr>
            </w:pPr>
          </w:p>
        </w:tc>
        <w:tc>
          <w:tcPr>
            <w:tcW w:w="911"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proofErr w:type="spellStart"/>
            <w:r w:rsidRPr="00CF3E6A">
              <w:rPr>
                <w:rFonts w:eastAsia="Times New Roman" w:cs="Times New Roman"/>
                <w:color w:val="000000"/>
                <w:kern w:val="0"/>
                <w:sz w:val="18"/>
                <w:szCs w:val="18"/>
                <w:lang w:val="es-CL" w:eastAsia="es-CL"/>
                <w14:ligatures w14:val="none"/>
              </w:rPr>
              <w:t>Star</w:t>
            </w:r>
            <w:proofErr w:type="spellEnd"/>
            <w:r w:rsidRPr="00CF3E6A">
              <w:rPr>
                <w:rFonts w:eastAsia="Times New Roman" w:cs="Times New Roman"/>
                <w:color w:val="000000"/>
                <w:kern w:val="0"/>
                <w:sz w:val="18"/>
                <w:szCs w:val="18"/>
                <w:lang w:val="es-CL" w:eastAsia="es-CL"/>
                <w14:ligatures w14:val="none"/>
              </w:rPr>
              <w:t xml:space="preserve"> </w:t>
            </w:r>
            <w:proofErr w:type="spellStart"/>
            <w:r w:rsidRPr="00CF3E6A">
              <w:rPr>
                <w:rFonts w:eastAsia="Times New Roman" w:cs="Times New Roman"/>
                <w:color w:val="000000"/>
                <w:kern w:val="0"/>
                <w:sz w:val="18"/>
                <w:szCs w:val="18"/>
                <w:lang w:val="es-CL" w:eastAsia="es-CL"/>
                <w14:ligatures w14:val="none"/>
              </w:rPr>
              <w:t>Princess</w:t>
            </w:r>
            <w:proofErr w:type="spellEnd"/>
          </w:p>
        </w:tc>
        <w:tc>
          <w:tcPr>
            <w:tcW w:w="683"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2.600</w:t>
            </w:r>
          </w:p>
        </w:tc>
        <w:tc>
          <w:tcPr>
            <w:tcW w:w="532"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108.977</w:t>
            </w:r>
          </w:p>
        </w:tc>
        <w:tc>
          <w:tcPr>
            <w:tcW w:w="532"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41,91</w:t>
            </w:r>
          </w:p>
        </w:tc>
        <w:tc>
          <w:tcPr>
            <w:tcW w:w="632"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2,36</w:t>
            </w:r>
          </w:p>
        </w:tc>
        <w:tc>
          <w:tcPr>
            <w:tcW w:w="578"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EEUU</w:t>
            </w:r>
          </w:p>
        </w:tc>
      </w:tr>
      <w:tr w:rsidR="00F70DF4" w:rsidRPr="00CF3E6A" w:rsidTr="00CF3E6A">
        <w:trPr>
          <w:trHeight w:val="315"/>
        </w:trPr>
        <w:tc>
          <w:tcPr>
            <w:tcW w:w="1132" w:type="pct"/>
            <w:tcBorders>
              <w:top w:val="nil"/>
              <w:left w:val="single" w:sz="8" w:space="0" w:color="F4B083"/>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b/>
                <w:bCs/>
                <w:color w:val="000000"/>
                <w:kern w:val="0"/>
                <w:sz w:val="18"/>
                <w:szCs w:val="18"/>
                <w:lang w:val="es-CL" w:eastAsia="es-CL"/>
                <w14:ligatures w14:val="none"/>
              </w:rPr>
            </w:pPr>
            <w:proofErr w:type="spellStart"/>
            <w:r w:rsidRPr="00CF3E6A">
              <w:rPr>
                <w:rFonts w:eastAsia="Times New Roman" w:cs="Times New Roman"/>
                <w:b/>
                <w:bCs/>
                <w:color w:val="000000"/>
                <w:kern w:val="0"/>
                <w:sz w:val="18"/>
                <w:szCs w:val="18"/>
                <w:lang w:val="es-CL" w:eastAsia="es-CL"/>
                <w14:ligatures w14:val="none"/>
              </w:rPr>
              <w:t>Regency</w:t>
            </w:r>
            <w:proofErr w:type="spellEnd"/>
            <w:r w:rsidRPr="00CF3E6A">
              <w:rPr>
                <w:rFonts w:eastAsia="Times New Roman" w:cs="Times New Roman"/>
                <w:b/>
                <w:bCs/>
                <w:color w:val="000000"/>
                <w:kern w:val="0"/>
                <w:sz w:val="18"/>
                <w:szCs w:val="18"/>
                <w:lang w:val="es-CL" w:eastAsia="es-CL"/>
                <w14:ligatures w14:val="none"/>
              </w:rPr>
              <w:t xml:space="preserve"> </w:t>
            </w:r>
            <w:proofErr w:type="spellStart"/>
            <w:r w:rsidRPr="00CF3E6A">
              <w:rPr>
                <w:rFonts w:eastAsia="Times New Roman" w:cs="Times New Roman"/>
                <w:b/>
                <w:bCs/>
                <w:color w:val="000000"/>
                <w:kern w:val="0"/>
                <w:sz w:val="18"/>
                <w:szCs w:val="18"/>
                <w:lang w:val="es-CL" w:eastAsia="es-CL"/>
                <w14:ligatures w14:val="none"/>
              </w:rPr>
              <w:t>Seven</w:t>
            </w:r>
            <w:proofErr w:type="spellEnd"/>
            <w:r w:rsidRPr="00CF3E6A">
              <w:rPr>
                <w:rFonts w:eastAsia="Times New Roman" w:cs="Times New Roman"/>
                <w:b/>
                <w:bCs/>
                <w:color w:val="000000"/>
                <w:kern w:val="0"/>
                <w:sz w:val="18"/>
                <w:szCs w:val="18"/>
                <w:lang w:val="es-CL" w:eastAsia="es-CL"/>
                <w14:ligatures w14:val="none"/>
              </w:rPr>
              <w:t xml:space="preserve"> Seas</w:t>
            </w:r>
          </w:p>
        </w:tc>
        <w:tc>
          <w:tcPr>
            <w:tcW w:w="911"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proofErr w:type="spellStart"/>
            <w:r w:rsidRPr="00CF3E6A">
              <w:rPr>
                <w:rFonts w:eastAsia="Times New Roman" w:cs="Times New Roman"/>
                <w:color w:val="000000"/>
                <w:kern w:val="0"/>
                <w:sz w:val="18"/>
                <w:szCs w:val="18"/>
                <w:lang w:val="es-CL" w:eastAsia="es-CL"/>
                <w14:ligatures w14:val="none"/>
              </w:rPr>
              <w:t>Seven</w:t>
            </w:r>
            <w:proofErr w:type="spellEnd"/>
            <w:r w:rsidRPr="00CF3E6A">
              <w:rPr>
                <w:rFonts w:eastAsia="Times New Roman" w:cs="Times New Roman"/>
                <w:color w:val="000000"/>
                <w:kern w:val="0"/>
                <w:sz w:val="18"/>
                <w:szCs w:val="18"/>
                <w:lang w:val="es-CL" w:eastAsia="es-CL"/>
                <w14:ligatures w14:val="none"/>
              </w:rPr>
              <w:t xml:space="preserve"> Seas </w:t>
            </w:r>
            <w:proofErr w:type="spellStart"/>
            <w:r w:rsidRPr="00CF3E6A">
              <w:rPr>
                <w:rFonts w:eastAsia="Times New Roman" w:cs="Times New Roman"/>
                <w:color w:val="000000"/>
                <w:kern w:val="0"/>
                <w:sz w:val="18"/>
                <w:szCs w:val="18"/>
                <w:lang w:val="es-CL" w:eastAsia="es-CL"/>
                <w14:ligatures w14:val="none"/>
              </w:rPr>
              <w:t>Mariner</w:t>
            </w:r>
            <w:proofErr w:type="spellEnd"/>
          </w:p>
        </w:tc>
        <w:tc>
          <w:tcPr>
            <w:tcW w:w="683"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750</w:t>
            </w:r>
          </w:p>
        </w:tc>
        <w:tc>
          <w:tcPr>
            <w:tcW w:w="532"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48.075</w:t>
            </w:r>
          </w:p>
        </w:tc>
        <w:tc>
          <w:tcPr>
            <w:tcW w:w="532"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64,10</w:t>
            </w:r>
          </w:p>
        </w:tc>
        <w:tc>
          <w:tcPr>
            <w:tcW w:w="632"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1,69</w:t>
            </w:r>
          </w:p>
        </w:tc>
        <w:tc>
          <w:tcPr>
            <w:tcW w:w="578"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EEUU</w:t>
            </w:r>
          </w:p>
        </w:tc>
      </w:tr>
      <w:tr w:rsidR="00F70DF4" w:rsidRPr="00CF3E6A" w:rsidTr="00CF3E6A">
        <w:trPr>
          <w:trHeight w:val="315"/>
        </w:trPr>
        <w:tc>
          <w:tcPr>
            <w:tcW w:w="1132" w:type="pct"/>
            <w:tcBorders>
              <w:top w:val="nil"/>
              <w:left w:val="single" w:sz="8" w:space="0" w:color="F4B083"/>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b/>
                <w:bCs/>
                <w:color w:val="000000"/>
                <w:kern w:val="0"/>
                <w:sz w:val="18"/>
                <w:szCs w:val="18"/>
                <w:lang w:val="es-CL" w:eastAsia="es-CL"/>
                <w14:ligatures w14:val="none"/>
              </w:rPr>
            </w:pPr>
            <w:proofErr w:type="spellStart"/>
            <w:r w:rsidRPr="00CF3E6A">
              <w:rPr>
                <w:rFonts w:eastAsia="Times New Roman" w:cs="Times New Roman"/>
                <w:b/>
                <w:bCs/>
                <w:color w:val="000000"/>
                <w:kern w:val="0"/>
                <w:sz w:val="18"/>
                <w:szCs w:val="18"/>
                <w:lang w:val="es-CL" w:eastAsia="es-CL"/>
                <w14:ligatures w14:val="none"/>
              </w:rPr>
              <w:t>Residences</w:t>
            </w:r>
            <w:proofErr w:type="spellEnd"/>
            <w:r w:rsidRPr="00CF3E6A">
              <w:rPr>
                <w:rFonts w:eastAsia="Times New Roman" w:cs="Times New Roman"/>
                <w:b/>
                <w:bCs/>
                <w:color w:val="000000"/>
                <w:kern w:val="0"/>
                <w:sz w:val="18"/>
                <w:szCs w:val="18"/>
                <w:lang w:val="es-CL" w:eastAsia="es-CL"/>
                <w14:ligatures w14:val="none"/>
              </w:rPr>
              <w:t xml:space="preserve"> at Sea</w:t>
            </w:r>
          </w:p>
        </w:tc>
        <w:tc>
          <w:tcPr>
            <w:tcW w:w="911"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proofErr w:type="spellStart"/>
            <w:r w:rsidRPr="00CF3E6A">
              <w:rPr>
                <w:rFonts w:eastAsia="Times New Roman" w:cs="Times New Roman"/>
                <w:color w:val="000000"/>
                <w:kern w:val="0"/>
                <w:sz w:val="18"/>
                <w:szCs w:val="18"/>
                <w:lang w:val="es-CL" w:eastAsia="es-CL"/>
                <w14:ligatures w14:val="none"/>
              </w:rPr>
              <w:t>The</w:t>
            </w:r>
            <w:proofErr w:type="spellEnd"/>
            <w:r w:rsidRPr="00CF3E6A">
              <w:rPr>
                <w:rFonts w:eastAsia="Times New Roman" w:cs="Times New Roman"/>
                <w:color w:val="000000"/>
                <w:kern w:val="0"/>
                <w:sz w:val="18"/>
                <w:szCs w:val="18"/>
                <w:lang w:val="es-CL" w:eastAsia="es-CL"/>
                <w14:ligatures w14:val="none"/>
              </w:rPr>
              <w:t xml:space="preserve"> World</w:t>
            </w:r>
          </w:p>
        </w:tc>
        <w:tc>
          <w:tcPr>
            <w:tcW w:w="683"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200</w:t>
            </w:r>
          </w:p>
        </w:tc>
        <w:tc>
          <w:tcPr>
            <w:tcW w:w="532"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43.524</w:t>
            </w:r>
          </w:p>
        </w:tc>
        <w:tc>
          <w:tcPr>
            <w:tcW w:w="532"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217,62</w:t>
            </w:r>
          </w:p>
        </w:tc>
        <w:tc>
          <w:tcPr>
            <w:tcW w:w="632"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0,80</w:t>
            </w:r>
          </w:p>
        </w:tc>
        <w:tc>
          <w:tcPr>
            <w:tcW w:w="578"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EEUU</w:t>
            </w:r>
          </w:p>
        </w:tc>
      </w:tr>
      <w:tr w:rsidR="00F70DF4" w:rsidRPr="00CF3E6A" w:rsidTr="00CF3E6A">
        <w:trPr>
          <w:trHeight w:val="315"/>
        </w:trPr>
        <w:tc>
          <w:tcPr>
            <w:tcW w:w="1132" w:type="pct"/>
            <w:tcBorders>
              <w:top w:val="nil"/>
              <w:left w:val="single" w:sz="8" w:space="0" w:color="F4B083"/>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b/>
                <w:bCs/>
                <w:color w:val="000000"/>
                <w:kern w:val="0"/>
                <w:sz w:val="18"/>
                <w:szCs w:val="18"/>
                <w:lang w:val="es-CL" w:eastAsia="es-CL"/>
                <w14:ligatures w14:val="none"/>
              </w:rPr>
            </w:pPr>
            <w:r w:rsidRPr="00CF3E6A">
              <w:rPr>
                <w:rFonts w:eastAsia="Times New Roman" w:cs="Times New Roman"/>
                <w:b/>
                <w:bCs/>
                <w:color w:val="000000"/>
                <w:kern w:val="0"/>
                <w:sz w:val="18"/>
                <w:szCs w:val="18"/>
                <w:lang w:val="es-CL" w:eastAsia="es-CL"/>
                <w14:ligatures w14:val="none"/>
              </w:rPr>
              <w:t xml:space="preserve">Royal </w:t>
            </w:r>
            <w:proofErr w:type="spellStart"/>
            <w:r w:rsidRPr="00CF3E6A">
              <w:rPr>
                <w:rFonts w:eastAsia="Times New Roman" w:cs="Times New Roman"/>
                <w:b/>
                <w:bCs/>
                <w:color w:val="000000"/>
                <w:kern w:val="0"/>
                <w:sz w:val="18"/>
                <w:szCs w:val="18"/>
                <w:lang w:val="es-CL" w:eastAsia="es-CL"/>
                <w14:ligatures w14:val="none"/>
              </w:rPr>
              <w:t>Caribbean</w:t>
            </w:r>
            <w:proofErr w:type="spellEnd"/>
            <w:r w:rsidRPr="00CF3E6A">
              <w:rPr>
                <w:rFonts w:eastAsia="Times New Roman" w:cs="Times New Roman"/>
                <w:b/>
                <w:bCs/>
                <w:color w:val="000000"/>
                <w:kern w:val="0"/>
                <w:sz w:val="18"/>
                <w:szCs w:val="18"/>
                <w:lang w:val="es-CL" w:eastAsia="es-CL"/>
                <w14:ligatures w14:val="none"/>
              </w:rPr>
              <w:t xml:space="preserve"> </w:t>
            </w:r>
            <w:proofErr w:type="spellStart"/>
            <w:r w:rsidRPr="00CF3E6A">
              <w:rPr>
                <w:rFonts w:eastAsia="Times New Roman" w:cs="Times New Roman"/>
                <w:b/>
                <w:bCs/>
                <w:color w:val="000000"/>
                <w:kern w:val="0"/>
                <w:sz w:val="18"/>
                <w:szCs w:val="18"/>
                <w:lang w:val="es-CL" w:eastAsia="es-CL"/>
                <w14:ligatures w14:val="none"/>
              </w:rPr>
              <w:t>Cruise</w:t>
            </w:r>
            <w:proofErr w:type="spellEnd"/>
            <w:r w:rsidRPr="00CF3E6A">
              <w:rPr>
                <w:rFonts w:eastAsia="Times New Roman" w:cs="Times New Roman"/>
                <w:b/>
                <w:bCs/>
                <w:color w:val="000000"/>
                <w:kern w:val="0"/>
                <w:sz w:val="18"/>
                <w:szCs w:val="18"/>
                <w:lang w:val="es-CL" w:eastAsia="es-CL"/>
                <w14:ligatures w14:val="none"/>
              </w:rPr>
              <w:t xml:space="preserve"> </w:t>
            </w:r>
            <w:proofErr w:type="spellStart"/>
            <w:r w:rsidRPr="00CF3E6A">
              <w:rPr>
                <w:rFonts w:eastAsia="Times New Roman" w:cs="Times New Roman"/>
                <w:b/>
                <w:bCs/>
                <w:color w:val="000000"/>
                <w:kern w:val="0"/>
                <w:sz w:val="18"/>
                <w:szCs w:val="18"/>
                <w:lang w:val="es-CL" w:eastAsia="es-CL"/>
                <w14:ligatures w14:val="none"/>
              </w:rPr>
              <w:t>Lines</w:t>
            </w:r>
            <w:proofErr w:type="spellEnd"/>
          </w:p>
        </w:tc>
        <w:tc>
          <w:tcPr>
            <w:tcW w:w="911"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proofErr w:type="spellStart"/>
            <w:r w:rsidRPr="00CF3E6A">
              <w:rPr>
                <w:rFonts w:eastAsia="Times New Roman" w:cs="Times New Roman"/>
                <w:color w:val="000000"/>
                <w:kern w:val="0"/>
                <w:sz w:val="18"/>
                <w:szCs w:val="18"/>
                <w:lang w:val="es-CL" w:eastAsia="es-CL"/>
                <w14:ligatures w14:val="none"/>
              </w:rPr>
              <w:t>Rhapsody</w:t>
            </w:r>
            <w:proofErr w:type="spellEnd"/>
            <w:r w:rsidRPr="00CF3E6A">
              <w:rPr>
                <w:rFonts w:eastAsia="Times New Roman" w:cs="Times New Roman"/>
                <w:color w:val="000000"/>
                <w:kern w:val="0"/>
                <w:sz w:val="18"/>
                <w:szCs w:val="18"/>
                <w:lang w:val="es-CL" w:eastAsia="es-CL"/>
                <w14:ligatures w14:val="none"/>
              </w:rPr>
              <w:t xml:space="preserve"> of </w:t>
            </w:r>
            <w:proofErr w:type="spellStart"/>
            <w:r w:rsidRPr="00CF3E6A">
              <w:rPr>
                <w:rFonts w:eastAsia="Times New Roman" w:cs="Times New Roman"/>
                <w:color w:val="000000"/>
                <w:kern w:val="0"/>
                <w:sz w:val="18"/>
                <w:szCs w:val="18"/>
                <w:lang w:val="es-CL" w:eastAsia="es-CL"/>
                <w14:ligatures w14:val="none"/>
              </w:rPr>
              <w:t>the</w:t>
            </w:r>
            <w:proofErr w:type="spellEnd"/>
            <w:r w:rsidRPr="00CF3E6A">
              <w:rPr>
                <w:rFonts w:eastAsia="Times New Roman" w:cs="Times New Roman"/>
                <w:color w:val="000000"/>
                <w:kern w:val="0"/>
                <w:sz w:val="18"/>
                <w:szCs w:val="18"/>
                <w:lang w:val="es-CL" w:eastAsia="es-CL"/>
                <w14:ligatures w14:val="none"/>
              </w:rPr>
              <w:t xml:space="preserve"> Seas</w:t>
            </w:r>
          </w:p>
        </w:tc>
        <w:tc>
          <w:tcPr>
            <w:tcW w:w="683"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2.435</w:t>
            </w:r>
          </w:p>
        </w:tc>
        <w:tc>
          <w:tcPr>
            <w:tcW w:w="532"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78.491</w:t>
            </w:r>
          </w:p>
        </w:tc>
        <w:tc>
          <w:tcPr>
            <w:tcW w:w="532"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32,23</w:t>
            </w:r>
          </w:p>
        </w:tc>
        <w:tc>
          <w:tcPr>
            <w:tcW w:w="632"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3,18</w:t>
            </w:r>
          </w:p>
        </w:tc>
        <w:tc>
          <w:tcPr>
            <w:tcW w:w="578"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EEUU</w:t>
            </w:r>
          </w:p>
        </w:tc>
      </w:tr>
      <w:tr w:rsidR="00F70DF4" w:rsidRPr="00CF3E6A" w:rsidTr="00CF3E6A">
        <w:trPr>
          <w:trHeight w:val="315"/>
        </w:trPr>
        <w:tc>
          <w:tcPr>
            <w:tcW w:w="1132" w:type="pct"/>
            <w:tcBorders>
              <w:top w:val="nil"/>
              <w:left w:val="single" w:sz="8" w:space="0" w:color="F4B083"/>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b/>
                <w:bCs/>
                <w:color w:val="000000"/>
                <w:kern w:val="0"/>
                <w:sz w:val="18"/>
                <w:szCs w:val="18"/>
                <w:lang w:val="es-CL" w:eastAsia="es-CL"/>
                <w14:ligatures w14:val="none"/>
              </w:rPr>
            </w:pPr>
            <w:r w:rsidRPr="00CF3E6A">
              <w:rPr>
                <w:rFonts w:eastAsia="Times New Roman" w:cs="Times New Roman"/>
                <w:b/>
                <w:bCs/>
                <w:color w:val="000000"/>
                <w:kern w:val="0"/>
                <w:sz w:val="18"/>
                <w:szCs w:val="18"/>
                <w:lang w:val="es-CL" w:eastAsia="es-CL"/>
                <w14:ligatures w14:val="none"/>
              </w:rPr>
              <w:t xml:space="preserve">Saga </w:t>
            </w:r>
            <w:proofErr w:type="spellStart"/>
            <w:r w:rsidRPr="00CF3E6A">
              <w:rPr>
                <w:rFonts w:eastAsia="Times New Roman" w:cs="Times New Roman"/>
                <w:b/>
                <w:bCs/>
                <w:color w:val="000000"/>
                <w:kern w:val="0"/>
                <w:sz w:val="18"/>
                <w:szCs w:val="18"/>
                <w:lang w:val="es-CL" w:eastAsia="es-CL"/>
                <w14:ligatures w14:val="none"/>
              </w:rPr>
              <w:t>Shipping</w:t>
            </w:r>
            <w:proofErr w:type="spellEnd"/>
          </w:p>
        </w:tc>
        <w:tc>
          <w:tcPr>
            <w:tcW w:w="911"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Saga Pearl II</w:t>
            </w:r>
          </w:p>
        </w:tc>
        <w:tc>
          <w:tcPr>
            <w:tcW w:w="683"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602</w:t>
            </w:r>
          </w:p>
        </w:tc>
        <w:tc>
          <w:tcPr>
            <w:tcW w:w="532"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18.627</w:t>
            </w:r>
          </w:p>
        </w:tc>
        <w:tc>
          <w:tcPr>
            <w:tcW w:w="532"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30,94</w:t>
            </w:r>
          </w:p>
        </w:tc>
        <w:tc>
          <w:tcPr>
            <w:tcW w:w="632"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2,74</w:t>
            </w:r>
          </w:p>
        </w:tc>
        <w:tc>
          <w:tcPr>
            <w:tcW w:w="578"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Reino Unido</w:t>
            </w:r>
          </w:p>
        </w:tc>
      </w:tr>
      <w:tr w:rsidR="00F70DF4" w:rsidRPr="00CF3E6A" w:rsidTr="00CF3E6A">
        <w:trPr>
          <w:trHeight w:val="315"/>
        </w:trPr>
        <w:tc>
          <w:tcPr>
            <w:tcW w:w="1132" w:type="pct"/>
            <w:tcBorders>
              <w:top w:val="nil"/>
              <w:left w:val="single" w:sz="8" w:space="0" w:color="F4B083"/>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b/>
                <w:bCs/>
                <w:color w:val="000000"/>
                <w:kern w:val="0"/>
                <w:sz w:val="18"/>
                <w:szCs w:val="18"/>
                <w:lang w:val="es-CL" w:eastAsia="es-CL"/>
                <w14:ligatures w14:val="none"/>
              </w:rPr>
            </w:pPr>
            <w:proofErr w:type="spellStart"/>
            <w:r w:rsidRPr="00CF3E6A">
              <w:rPr>
                <w:rFonts w:eastAsia="Times New Roman" w:cs="Times New Roman"/>
                <w:b/>
                <w:bCs/>
                <w:color w:val="000000"/>
                <w:kern w:val="0"/>
                <w:sz w:val="18"/>
                <w:szCs w:val="18"/>
                <w:lang w:val="es-CL" w:eastAsia="es-CL"/>
                <w14:ligatures w14:val="none"/>
              </w:rPr>
              <w:t>Seaburn</w:t>
            </w:r>
            <w:proofErr w:type="spellEnd"/>
          </w:p>
        </w:tc>
        <w:tc>
          <w:tcPr>
            <w:tcW w:w="911"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proofErr w:type="spellStart"/>
            <w:r w:rsidRPr="00CF3E6A">
              <w:rPr>
                <w:rFonts w:eastAsia="Times New Roman" w:cs="Times New Roman"/>
                <w:color w:val="000000"/>
                <w:kern w:val="0"/>
                <w:sz w:val="18"/>
                <w:szCs w:val="18"/>
                <w:lang w:val="es-CL" w:eastAsia="es-CL"/>
                <w14:ligatures w14:val="none"/>
              </w:rPr>
              <w:t>Seabourn</w:t>
            </w:r>
            <w:proofErr w:type="spellEnd"/>
            <w:r w:rsidRPr="00CF3E6A">
              <w:rPr>
                <w:rFonts w:eastAsia="Times New Roman" w:cs="Times New Roman"/>
                <w:color w:val="000000"/>
                <w:kern w:val="0"/>
                <w:sz w:val="18"/>
                <w:szCs w:val="18"/>
                <w:lang w:val="es-CL" w:eastAsia="es-CL"/>
                <w14:ligatures w14:val="none"/>
              </w:rPr>
              <w:t xml:space="preserve"> </w:t>
            </w:r>
            <w:proofErr w:type="spellStart"/>
            <w:r w:rsidRPr="00CF3E6A">
              <w:rPr>
                <w:rFonts w:eastAsia="Times New Roman" w:cs="Times New Roman"/>
                <w:color w:val="000000"/>
                <w:kern w:val="0"/>
                <w:sz w:val="18"/>
                <w:szCs w:val="18"/>
                <w:lang w:val="es-CL" w:eastAsia="es-CL"/>
                <w14:ligatures w14:val="none"/>
              </w:rPr>
              <w:t>Quest</w:t>
            </w:r>
            <w:proofErr w:type="spellEnd"/>
          </w:p>
        </w:tc>
        <w:tc>
          <w:tcPr>
            <w:tcW w:w="683"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450</w:t>
            </w:r>
          </w:p>
        </w:tc>
        <w:tc>
          <w:tcPr>
            <w:tcW w:w="532"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32.000</w:t>
            </w:r>
          </w:p>
        </w:tc>
        <w:tc>
          <w:tcPr>
            <w:tcW w:w="532"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71,11</w:t>
            </w:r>
          </w:p>
        </w:tc>
        <w:tc>
          <w:tcPr>
            <w:tcW w:w="632"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1,34</w:t>
            </w:r>
          </w:p>
        </w:tc>
        <w:tc>
          <w:tcPr>
            <w:tcW w:w="578"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EEUU</w:t>
            </w:r>
          </w:p>
        </w:tc>
      </w:tr>
      <w:tr w:rsidR="00F70DF4" w:rsidRPr="00CF3E6A" w:rsidTr="00CF3E6A">
        <w:trPr>
          <w:trHeight w:val="315"/>
        </w:trPr>
        <w:tc>
          <w:tcPr>
            <w:tcW w:w="1132" w:type="pct"/>
            <w:vMerge w:val="restart"/>
            <w:tcBorders>
              <w:top w:val="nil"/>
              <w:left w:val="single" w:sz="8" w:space="0" w:color="F4B083"/>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b/>
                <w:bCs/>
                <w:color w:val="000000"/>
                <w:kern w:val="0"/>
                <w:sz w:val="18"/>
                <w:szCs w:val="18"/>
                <w:lang w:val="es-CL" w:eastAsia="es-CL"/>
                <w14:ligatures w14:val="none"/>
              </w:rPr>
            </w:pPr>
            <w:proofErr w:type="spellStart"/>
            <w:r w:rsidRPr="00CF3E6A">
              <w:rPr>
                <w:rFonts w:eastAsia="Times New Roman" w:cs="Times New Roman"/>
                <w:b/>
                <w:bCs/>
                <w:color w:val="000000"/>
                <w:kern w:val="0"/>
                <w:sz w:val="18"/>
                <w:szCs w:val="18"/>
                <w:lang w:val="es-CL" w:eastAsia="es-CL"/>
                <w14:ligatures w14:val="none"/>
              </w:rPr>
              <w:t>Silver</w:t>
            </w:r>
            <w:proofErr w:type="spellEnd"/>
            <w:r w:rsidRPr="00CF3E6A">
              <w:rPr>
                <w:rFonts w:eastAsia="Times New Roman" w:cs="Times New Roman"/>
                <w:b/>
                <w:bCs/>
                <w:color w:val="000000"/>
                <w:kern w:val="0"/>
                <w:sz w:val="18"/>
                <w:szCs w:val="18"/>
                <w:lang w:val="es-CL" w:eastAsia="es-CL"/>
                <w14:ligatures w14:val="none"/>
              </w:rPr>
              <w:t xml:space="preserve"> Sea </w:t>
            </w:r>
            <w:proofErr w:type="spellStart"/>
            <w:r w:rsidRPr="00CF3E6A">
              <w:rPr>
                <w:rFonts w:eastAsia="Times New Roman" w:cs="Times New Roman"/>
                <w:b/>
                <w:bCs/>
                <w:color w:val="000000"/>
                <w:kern w:val="0"/>
                <w:sz w:val="18"/>
                <w:szCs w:val="18"/>
                <w:lang w:val="es-CL" w:eastAsia="es-CL"/>
                <w14:ligatures w14:val="none"/>
              </w:rPr>
              <w:t>Cruise</w:t>
            </w:r>
            <w:proofErr w:type="spellEnd"/>
            <w:r w:rsidRPr="00CF3E6A">
              <w:rPr>
                <w:rFonts w:eastAsia="Times New Roman" w:cs="Times New Roman"/>
                <w:b/>
                <w:bCs/>
                <w:color w:val="000000"/>
                <w:kern w:val="0"/>
                <w:sz w:val="18"/>
                <w:szCs w:val="18"/>
                <w:lang w:val="es-CL" w:eastAsia="es-CL"/>
                <w14:ligatures w14:val="none"/>
              </w:rPr>
              <w:t xml:space="preserve"> Line</w:t>
            </w:r>
          </w:p>
        </w:tc>
        <w:tc>
          <w:tcPr>
            <w:tcW w:w="911"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proofErr w:type="spellStart"/>
            <w:r w:rsidRPr="00CF3E6A">
              <w:rPr>
                <w:rFonts w:eastAsia="Times New Roman" w:cs="Times New Roman"/>
                <w:color w:val="000000"/>
                <w:kern w:val="0"/>
                <w:sz w:val="18"/>
                <w:szCs w:val="18"/>
                <w:lang w:val="es-CL" w:eastAsia="es-CL"/>
                <w14:ligatures w14:val="none"/>
              </w:rPr>
              <w:t>Silver</w:t>
            </w:r>
            <w:proofErr w:type="spellEnd"/>
            <w:r w:rsidRPr="00CF3E6A">
              <w:rPr>
                <w:rFonts w:eastAsia="Times New Roman" w:cs="Times New Roman"/>
                <w:color w:val="000000"/>
                <w:kern w:val="0"/>
                <w:sz w:val="18"/>
                <w:szCs w:val="18"/>
                <w:lang w:val="es-CL" w:eastAsia="es-CL"/>
                <w14:ligatures w14:val="none"/>
              </w:rPr>
              <w:t xml:space="preserve"> Explorer</w:t>
            </w:r>
          </w:p>
        </w:tc>
        <w:tc>
          <w:tcPr>
            <w:tcW w:w="683"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123</w:t>
            </w:r>
          </w:p>
        </w:tc>
        <w:tc>
          <w:tcPr>
            <w:tcW w:w="532"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6.072</w:t>
            </w:r>
          </w:p>
        </w:tc>
        <w:tc>
          <w:tcPr>
            <w:tcW w:w="532"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49,37</w:t>
            </w:r>
          </w:p>
        </w:tc>
        <w:tc>
          <w:tcPr>
            <w:tcW w:w="632"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1,05</w:t>
            </w:r>
          </w:p>
        </w:tc>
        <w:tc>
          <w:tcPr>
            <w:tcW w:w="578"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EEUU</w:t>
            </w:r>
          </w:p>
        </w:tc>
      </w:tr>
      <w:tr w:rsidR="00F70DF4" w:rsidRPr="00CF3E6A" w:rsidTr="00CF3E6A">
        <w:trPr>
          <w:trHeight w:val="315"/>
        </w:trPr>
        <w:tc>
          <w:tcPr>
            <w:tcW w:w="1132" w:type="pct"/>
            <w:vMerge/>
            <w:tcBorders>
              <w:top w:val="nil"/>
              <w:left w:val="single" w:sz="8" w:space="0" w:color="F4B083"/>
              <w:bottom w:val="single" w:sz="8" w:space="0" w:color="F4B083"/>
              <w:right w:val="single" w:sz="8" w:space="0" w:color="F4B083"/>
            </w:tcBorders>
            <w:vAlign w:val="center"/>
            <w:hideMark/>
          </w:tcPr>
          <w:p w:rsidR="00F70DF4" w:rsidRPr="00CF3E6A" w:rsidRDefault="00F70DF4" w:rsidP="00D35336">
            <w:pPr>
              <w:rPr>
                <w:rFonts w:eastAsia="Times New Roman" w:cs="Times New Roman"/>
                <w:b/>
                <w:bCs/>
                <w:color w:val="000000"/>
                <w:kern w:val="0"/>
                <w:sz w:val="18"/>
                <w:szCs w:val="18"/>
                <w:lang w:val="es-CL" w:eastAsia="es-CL"/>
                <w14:ligatures w14:val="none"/>
              </w:rPr>
            </w:pPr>
          </w:p>
        </w:tc>
        <w:tc>
          <w:tcPr>
            <w:tcW w:w="911"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proofErr w:type="spellStart"/>
            <w:r w:rsidRPr="00CF3E6A">
              <w:rPr>
                <w:rFonts w:eastAsia="Times New Roman" w:cs="Times New Roman"/>
                <w:color w:val="000000"/>
                <w:kern w:val="0"/>
                <w:sz w:val="18"/>
                <w:szCs w:val="18"/>
                <w:lang w:val="es-CL" w:eastAsia="es-CL"/>
                <w14:ligatures w14:val="none"/>
              </w:rPr>
              <w:t>Silver</w:t>
            </w:r>
            <w:proofErr w:type="spellEnd"/>
            <w:r w:rsidRPr="00CF3E6A">
              <w:rPr>
                <w:rFonts w:eastAsia="Times New Roman" w:cs="Times New Roman"/>
                <w:color w:val="000000"/>
                <w:kern w:val="0"/>
                <w:sz w:val="18"/>
                <w:szCs w:val="18"/>
                <w:lang w:val="es-CL" w:eastAsia="es-CL"/>
                <w14:ligatures w14:val="none"/>
              </w:rPr>
              <w:t xml:space="preserve"> </w:t>
            </w:r>
            <w:proofErr w:type="spellStart"/>
            <w:r w:rsidRPr="00CF3E6A">
              <w:rPr>
                <w:rFonts w:eastAsia="Times New Roman" w:cs="Times New Roman"/>
                <w:color w:val="000000"/>
                <w:kern w:val="0"/>
                <w:sz w:val="18"/>
                <w:szCs w:val="18"/>
                <w:lang w:val="es-CL" w:eastAsia="es-CL"/>
                <w14:ligatures w14:val="none"/>
              </w:rPr>
              <w:t>Spirit</w:t>
            </w:r>
            <w:proofErr w:type="spellEnd"/>
          </w:p>
        </w:tc>
        <w:tc>
          <w:tcPr>
            <w:tcW w:w="683"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540</w:t>
            </w:r>
          </w:p>
        </w:tc>
        <w:tc>
          <w:tcPr>
            <w:tcW w:w="532"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36.009</w:t>
            </w:r>
          </w:p>
        </w:tc>
        <w:tc>
          <w:tcPr>
            <w:tcW w:w="532"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66,68</w:t>
            </w:r>
          </w:p>
        </w:tc>
        <w:tc>
          <w:tcPr>
            <w:tcW w:w="632"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1,44</w:t>
            </w:r>
          </w:p>
        </w:tc>
        <w:tc>
          <w:tcPr>
            <w:tcW w:w="578"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EEUU</w:t>
            </w:r>
          </w:p>
        </w:tc>
      </w:tr>
      <w:tr w:rsidR="00F70DF4" w:rsidRPr="00CF3E6A" w:rsidTr="00CF3E6A">
        <w:trPr>
          <w:trHeight w:val="315"/>
        </w:trPr>
        <w:tc>
          <w:tcPr>
            <w:tcW w:w="1132" w:type="pct"/>
            <w:tcBorders>
              <w:top w:val="nil"/>
              <w:left w:val="single" w:sz="8" w:space="0" w:color="F4B083"/>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b/>
                <w:bCs/>
                <w:color w:val="000000"/>
                <w:kern w:val="0"/>
                <w:sz w:val="18"/>
                <w:szCs w:val="18"/>
                <w:lang w:val="es-CL" w:eastAsia="es-CL"/>
                <w14:ligatures w14:val="none"/>
              </w:rPr>
            </w:pPr>
            <w:proofErr w:type="spellStart"/>
            <w:r w:rsidRPr="00CF3E6A">
              <w:rPr>
                <w:rFonts w:eastAsia="Times New Roman" w:cs="Times New Roman"/>
                <w:b/>
                <w:bCs/>
                <w:color w:val="000000"/>
                <w:kern w:val="0"/>
                <w:sz w:val="18"/>
                <w:szCs w:val="18"/>
                <w:lang w:val="es-CL" w:eastAsia="es-CL"/>
                <w14:ligatures w14:val="none"/>
              </w:rPr>
              <w:t>Sonne</w:t>
            </w:r>
            <w:proofErr w:type="spellEnd"/>
          </w:p>
        </w:tc>
        <w:tc>
          <w:tcPr>
            <w:tcW w:w="911"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proofErr w:type="spellStart"/>
            <w:r w:rsidRPr="00CF3E6A">
              <w:rPr>
                <w:rFonts w:eastAsia="Times New Roman" w:cs="Times New Roman"/>
                <w:color w:val="000000"/>
                <w:kern w:val="0"/>
                <w:sz w:val="18"/>
                <w:szCs w:val="18"/>
                <w:lang w:val="es-CL" w:eastAsia="es-CL"/>
                <w14:ligatures w14:val="none"/>
              </w:rPr>
              <w:t>Sonne</w:t>
            </w:r>
            <w:proofErr w:type="spellEnd"/>
          </w:p>
        </w:tc>
        <w:tc>
          <w:tcPr>
            <w:tcW w:w="683"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40</w:t>
            </w:r>
          </w:p>
        </w:tc>
        <w:tc>
          <w:tcPr>
            <w:tcW w:w="532"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8.554</w:t>
            </w:r>
          </w:p>
        </w:tc>
        <w:tc>
          <w:tcPr>
            <w:tcW w:w="532"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213,85</w:t>
            </w:r>
          </w:p>
        </w:tc>
        <w:tc>
          <w:tcPr>
            <w:tcW w:w="632"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1,14</w:t>
            </w:r>
          </w:p>
        </w:tc>
        <w:tc>
          <w:tcPr>
            <w:tcW w:w="578"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Alemania</w:t>
            </w:r>
          </w:p>
        </w:tc>
      </w:tr>
      <w:tr w:rsidR="00F70DF4" w:rsidRPr="00CF3E6A" w:rsidTr="00CF3E6A">
        <w:trPr>
          <w:trHeight w:val="315"/>
        </w:trPr>
        <w:tc>
          <w:tcPr>
            <w:tcW w:w="1132" w:type="pct"/>
            <w:tcBorders>
              <w:top w:val="nil"/>
              <w:left w:val="single" w:sz="8" w:space="0" w:color="F4B083"/>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b/>
                <w:bCs/>
                <w:color w:val="000000"/>
                <w:kern w:val="0"/>
                <w:sz w:val="18"/>
                <w:szCs w:val="18"/>
                <w:lang w:val="es-CL" w:eastAsia="es-CL"/>
                <w14:ligatures w14:val="none"/>
              </w:rPr>
            </w:pPr>
            <w:proofErr w:type="spellStart"/>
            <w:r w:rsidRPr="00CF3E6A">
              <w:rPr>
                <w:rFonts w:eastAsia="Times New Roman" w:cs="Times New Roman"/>
                <w:b/>
                <w:bCs/>
                <w:color w:val="000000"/>
                <w:kern w:val="0"/>
                <w:sz w:val="18"/>
                <w:szCs w:val="18"/>
                <w:lang w:val="es-CL" w:eastAsia="es-CL"/>
                <w14:ligatures w14:val="none"/>
              </w:rPr>
              <w:t>Swan</w:t>
            </w:r>
            <w:proofErr w:type="spellEnd"/>
            <w:r w:rsidRPr="00CF3E6A">
              <w:rPr>
                <w:rFonts w:eastAsia="Times New Roman" w:cs="Times New Roman"/>
                <w:b/>
                <w:bCs/>
                <w:color w:val="000000"/>
                <w:kern w:val="0"/>
                <w:sz w:val="18"/>
                <w:szCs w:val="18"/>
                <w:lang w:val="es-CL" w:eastAsia="es-CL"/>
                <w14:ligatures w14:val="none"/>
              </w:rPr>
              <w:t xml:space="preserve"> </w:t>
            </w:r>
            <w:proofErr w:type="spellStart"/>
            <w:r w:rsidRPr="00CF3E6A">
              <w:rPr>
                <w:rFonts w:eastAsia="Times New Roman" w:cs="Times New Roman"/>
                <w:b/>
                <w:bCs/>
                <w:color w:val="000000"/>
                <w:kern w:val="0"/>
                <w:sz w:val="18"/>
                <w:szCs w:val="18"/>
                <w:lang w:val="es-CL" w:eastAsia="es-CL"/>
                <w14:ligatures w14:val="none"/>
              </w:rPr>
              <w:t>Hellenic</w:t>
            </w:r>
            <w:proofErr w:type="spellEnd"/>
          </w:p>
        </w:tc>
        <w:tc>
          <w:tcPr>
            <w:tcW w:w="911"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Minerva</w:t>
            </w:r>
          </w:p>
        </w:tc>
        <w:tc>
          <w:tcPr>
            <w:tcW w:w="683"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350</w:t>
            </w:r>
          </w:p>
        </w:tc>
        <w:tc>
          <w:tcPr>
            <w:tcW w:w="532"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12.892</w:t>
            </w:r>
          </w:p>
        </w:tc>
        <w:tc>
          <w:tcPr>
            <w:tcW w:w="532"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36,83</w:t>
            </w:r>
          </w:p>
        </w:tc>
        <w:tc>
          <w:tcPr>
            <w:tcW w:w="632"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2,19</w:t>
            </w:r>
          </w:p>
        </w:tc>
        <w:tc>
          <w:tcPr>
            <w:tcW w:w="578" w:type="pct"/>
            <w:tcBorders>
              <w:top w:val="nil"/>
              <w:left w:val="nil"/>
              <w:bottom w:val="single" w:sz="8" w:space="0" w:color="F4B083"/>
              <w:right w:val="single" w:sz="8" w:space="0" w:color="F4B083"/>
            </w:tcBorders>
            <w:shd w:val="clear" w:color="000000" w:fill="FDE9D9"/>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Reino Unido</w:t>
            </w:r>
          </w:p>
        </w:tc>
      </w:tr>
      <w:tr w:rsidR="00F70DF4" w:rsidRPr="00CF3E6A" w:rsidTr="00CF3E6A">
        <w:trPr>
          <w:trHeight w:val="315"/>
        </w:trPr>
        <w:tc>
          <w:tcPr>
            <w:tcW w:w="1132" w:type="pct"/>
            <w:tcBorders>
              <w:top w:val="nil"/>
              <w:left w:val="single" w:sz="8" w:space="0" w:color="F4B083"/>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b/>
                <w:bCs/>
                <w:color w:val="000000"/>
                <w:kern w:val="0"/>
                <w:sz w:val="18"/>
                <w:szCs w:val="18"/>
                <w:lang w:val="es-CL" w:eastAsia="es-CL"/>
                <w14:ligatures w14:val="none"/>
              </w:rPr>
            </w:pPr>
            <w:proofErr w:type="spellStart"/>
            <w:r w:rsidRPr="00CF3E6A">
              <w:rPr>
                <w:rFonts w:eastAsia="Times New Roman" w:cs="Times New Roman"/>
                <w:b/>
                <w:bCs/>
                <w:color w:val="000000"/>
                <w:kern w:val="0"/>
                <w:sz w:val="18"/>
                <w:szCs w:val="18"/>
                <w:lang w:val="es-CL" w:eastAsia="es-CL"/>
                <w14:ligatures w14:val="none"/>
              </w:rPr>
              <w:t>Cunard</w:t>
            </w:r>
            <w:proofErr w:type="spellEnd"/>
          </w:p>
        </w:tc>
        <w:tc>
          <w:tcPr>
            <w:tcW w:w="911"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Queen Mary 2</w:t>
            </w:r>
          </w:p>
        </w:tc>
        <w:tc>
          <w:tcPr>
            <w:tcW w:w="683"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2.620</w:t>
            </w:r>
          </w:p>
        </w:tc>
        <w:tc>
          <w:tcPr>
            <w:tcW w:w="532"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148.528</w:t>
            </w:r>
          </w:p>
        </w:tc>
        <w:tc>
          <w:tcPr>
            <w:tcW w:w="532"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56,69</w:t>
            </w:r>
          </w:p>
        </w:tc>
        <w:tc>
          <w:tcPr>
            <w:tcW w:w="632"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2,03</w:t>
            </w:r>
          </w:p>
        </w:tc>
        <w:tc>
          <w:tcPr>
            <w:tcW w:w="578" w:type="pct"/>
            <w:tcBorders>
              <w:top w:val="nil"/>
              <w:left w:val="nil"/>
              <w:bottom w:val="single" w:sz="8" w:space="0" w:color="F4B083"/>
              <w:right w:val="single" w:sz="8" w:space="0" w:color="F4B083"/>
            </w:tcBorders>
            <w:shd w:val="clear" w:color="auto" w:fill="auto"/>
            <w:noWrap/>
            <w:vAlign w:val="center"/>
            <w:hideMark/>
          </w:tcPr>
          <w:p w:rsidR="00F70DF4" w:rsidRPr="00CF3E6A" w:rsidRDefault="00F70DF4" w:rsidP="00D35336">
            <w:pPr>
              <w:jc w:val="center"/>
              <w:rPr>
                <w:rFonts w:eastAsia="Times New Roman" w:cs="Times New Roman"/>
                <w:color w:val="000000"/>
                <w:kern w:val="0"/>
                <w:sz w:val="18"/>
                <w:szCs w:val="18"/>
                <w:lang w:val="es-CL" w:eastAsia="es-CL"/>
                <w14:ligatures w14:val="none"/>
              </w:rPr>
            </w:pPr>
            <w:r w:rsidRPr="00CF3E6A">
              <w:rPr>
                <w:rFonts w:eastAsia="Times New Roman" w:cs="Times New Roman"/>
                <w:color w:val="000000"/>
                <w:kern w:val="0"/>
                <w:sz w:val="18"/>
                <w:szCs w:val="18"/>
                <w:lang w:val="es-CL" w:eastAsia="es-CL"/>
                <w14:ligatures w14:val="none"/>
              </w:rPr>
              <w:t>EEUU</w:t>
            </w:r>
          </w:p>
        </w:tc>
      </w:tr>
    </w:tbl>
    <w:p w:rsidR="00CF3E6A" w:rsidRPr="00821E0A" w:rsidRDefault="00CF3E6A" w:rsidP="00CF3E6A">
      <w:pPr>
        <w:spacing w:before="240" w:line="360" w:lineRule="auto"/>
        <w:jc w:val="both"/>
        <w:rPr>
          <w:sz w:val="18"/>
          <w:szCs w:val="18"/>
          <w:lang w:val="es-CL"/>
        </w:rPr>
      </w:pPr>
      <w:r w:rsidRPr="00821E0A">
        <w:rPr>
          <w:sz w:val="18"/>
          <w:szCs w:val="18"/>
          <w:lang w:val="es-CL"/>
        </w:rPr>
        <w:t>Fuente: Corporación de Puertos del Cono Sur.</w:t>
      </w:r>
    </w:p>
    <w:p w:rsidR="00F70DF4" w:rsidRPr="00F70DF4" w:rsidRDefault="00F70DF4" w:rsidP="00F70DF4">
      <w:pPr>
        <w:spacing w:before="240" w:line="360" w:lineRule="auto"/>
        <w:jc w:val="both"/>
        <w:rPr>
          <w:lang w:val="es-CL"/>
        </w:rPr>
      </w:pPr>
    </w:p>
    <w:p w:rsidR="00F70DF4" w:rsidRDefault="00F70DF4" w:rsidP="00F70DF4">
      <w:pPr>
        <w:spacing w:before="240" w:line="360" w:lineRule="auto"/>
        <w:jc w:val="both"/>
        <w:rPr>
          <w:lang w:val="es-CL"/>
        </w:rPr>
      </w:pPr>
      <w:r w:rsidRPr="00F70DF4">
        <w:rPr>
          <w:lang w:val="es-CL"/>
        </w:rPr>
        <w:lastRenderedPageBreak/>
        <w:t>Según la clasificación de la OMT aquellas naves cuyo coeficiente entre el espacio en el buque y los pasajeros (Ratio GT/PAX) es mayor a 50, es de significancia para que la nave sea clasificada en el segmento de lujo. Bajo esta perspectiva existen 8 naves de las 29 clasificadas en este segmento. Otro coeficiente a observar es el Ratio (PAX/CREW), donde en promedio hay dos pasajeros por cada tripulante. En general las naves que recalan en nuestros puertos son de tamaño medio, donde la mayoría no supera un rango GT de 90.000, a excepción del Queen Mary 2 nave considerada como la más grande que se ha construido.</w:t>
      </w:r>
    </w:p>
    <w:p w:rsidR="00F70866" w:rsidRDefault="00F70866" w:rsidP="00F70DF4">
      <w:pPr>
        <w:spacing w:before="240" w:line="360" w:lineRule="auto"/>
        <w:jc w:val="both"/>
        <w:rPr>
          <w:lang w:val="es-CL"/>
        </w:rPr>
      </w:pPr>
    </w:p>
    <w:p w:rsidR="00F70866" w:rsidRPr="00EB2817" w:rsidRDefault="00F70866" w:rsidP="00F70866">
      <w:pPr>
        <w:pStyle w:val="Ttulo1"/>
        <w:jc w:val="both"/>
        <w:rPr>
          <w:rFonts w:asciiTheme="minorHAnsi" w:hAnsiTheme="minorHAnsi"/>
          <w:b/>
          <w:i/>
          <w:lang w:val="es-CL"/>
        </w:rPr>
      </w:pPr>
      <w:r w:rsidRPr="00EB2817">
        <w:rPr>
          <w:rFonts w:asciiTheme="minorHAnsi" w:hAnsiTheme="minorHAnsi"/>
          <w:b/>
          <w:i/>
          <w:lang w:val="es-CL"/>
        </w:rPr>
        <w:t>Situación en Chile temporada 2015/2016</w:t>
      </w:r>
    </w:p>
    <w:p w:rsidR="00F70866" w:rsidRPr="00EB2817" w:rsidRDefault="00F70866" w:rsidP="00F70866">
      <w:pPr>
        <w:pStyle w:val="Prrafodelista"/>
        <w:numPr>
          <w:ilvl w:val="0"/>
          <w:numId w:val="1"/>
        </w:numPr>
        <w:spacing w:before="240"/>
        <w:jc w:val="both"/>
        <w:rPr>
          <w:rFonts w:eastAsiaTheme="majorEastAsia" w:cstheme="majorBidi"/>
          <w:color w:val="2E74B5" w:themeColor="accent1" w:themeShade="BF"/>
          <w:sz w:val="32"/>
          <w:szCs w:val="32"/>
          <w:lang w:val="es-CL"/>
        </w:rPr>
      </w:pPr>
      <w:r w:rsidRPr="00EB2817">
        <w:rPr>
          <w:rFonts w:eastAsiaTheme="majorEastAsia" w:cstheme="majorBidi"/>
          <w:color w:val="2E74B5" w:themeColor="accent1" w:themeShade="BF"/>
          <w:sz w:val="32"/>
          <w:szCs w:val="32"/>
          <w:lang w:val="es-CL"/>
        </w:rPr>
        <w:t>Recaladas</w:t>
      </w:r>
    </w:p>
    <w:p w:rsidR="00F70DF4" w:rsidRDefault="00F70DF4" w:rsidP="00F70DF4">
      <w:pPr>
        <w:spacing w:before="240" w:line="360" w:lineRule="auto"/>
        <w:jc w:val="both"/>
        <w:rPr>
          <w:lang w:val="es-CL"/>
        </w:rPr>
      </w:pPr>
      <w:r w:rsidRPr="00F70DF4">
        <w:rPr>
          <w:lang w:val="es-CL"/>
        </w:rPr>
        <w:t>Durante la temporada 2015/2016 están confirmadas 236 recaladas de cruceros, lo que significa una variación de 47% respecto a la temporada anterior. La mayor cantidad de recaladas se concentran en los puertos de Valparaíso, Puerto Montt y Punta Arenas con un 70% del total. Si se observa la cantidad de recaladas en los distintos puertos se encuentra que en la mayoría hay variación positiva con respecto a la temporada 2014/2015 a excepción de Puerto Natales con una disminución de 50%.</w:t>
      </w:r>
    </w:p>
    <w:p w:rsidR="00F70866" w:rsidRPr="00F70DF4" w:rsidRDefault="00F70866" w:rsidP="00F70DF4">
      <w:pPr>
        <w:spacing w:before="240" w:line="360" w:lineRule="auto"/>
        <w:jc w:val="both"/>
        <w:rPr>
          <w:lang w:val="es-CL"/>
        </w:rPr>
      </w:pPr>
    </w:p>
    <w:p w:rsidR="00F70DF4" w:rsidRDefault="00F70DF4" w:rsidP="00CF3E6A">
      <w:pPr>
        <w:jc w:val="both"/>
        <w:rPr>
          <w:lang w:val="es-CL"/>
        </w:rPr>
      </w:pPr>
      <w:r w:rsidRPr="00F70DF4">
        <w:rPr>
          <w:noProof/>
          <w:lang w:val="es-CL" w:eastAsia="es-CL"/>
        </w:rPr>
        <w:drawing>
          <wp:inline distT="0" distB="0" distL="0" distR="0" wp14:anchorId="0C60F58B" wp14:editId="7EB89987">
            <wp:extent cx="5943600" cy="268605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F3E6A" w:rsidRPr="00F70DF4" w:rsidRDefault="00CF3E6A" w:rsidP="00CF3E6A">
      <w:pPr>
        <w:spacing w:before="240"/>
        <w:jc w:val="both"/>
        <w:rPr>
          <w:sz w:val="18"/>
          <w:szCs w:val="18"/>
          <w:lang w:val="es-CL"/>
        </w:rPr>
      </w:pPr>
      <w:r w:rsidRPr="00F70DF4">
        <w:rPr>
          <w:sz w:val="18"/>
          <w:szCs w:val="18"/>
          <w:lang w:val="es-CL"/>
        </w:rPr>
        <w:t>Fuente: Elaboración propia en base a información de la Corporación de Puertos del Cono Sur.</w:t>
      </w:r>
    </w:p>
    <w:p w:rsidR="00CF3E6A" w:rsidRPr="00F70DF4" w:rsidRDefault="00CF3E6A" w:rsidP="00F70DF4">
      <w:pPr>
        <w:spacing w:line="360" w:lineRule="auto"/>
        <w:jc w:val="both"/>
        <w:rPr>
          <w:lang w:val="es-CL"/>
        </w:rPr>
      </w:pPr>
    </w:p>
    <w:p w:rsidR="00F70DF4" w:rsidRPr="00F70DF4" w:rsidRDefault="00F70DF4" w:rsidP="00F70866">
      <w:pPr>
        <w:pStyle w:val="Ttulo1"/>
        <w:numPr>
          <w:ilvl w:val="0"/>
          <w:numId w:val="2"/>
        </w:numPr>
        <w:spacing w:line="360" w:lineRule="auto"/>
        <w:jc w:val="both"/>
        <w:rPr>
          <w:rFonts w:asciiTheme="minorHAnsi" w:hAnsiTheme="minorHAnsi"/>
          <w:lang w:val="es-CL"/>
        </w:rPr>
      </w:pPr>
      <w:r w:rsidRPr="00F70DF4">
        <w:rPr>
          <w:rFonts w:asciiTheme="minorHAnsi" w:hAnsiTheme="minorHAnsi"/>
          <w:lang w:val="es-CL"/>
        </w:rPr>
        <w:lastRenderedPageBreak/>
        <w:t xml:space="preserve">Llegadas de pasajeros </w:t>
      </w:r>
    </w:p>
    <w:p w:rsidR="00F70DF4" w:rsidRPr="00F70DF4" w:rsidRDefault="00F70DF4" w:rsidP="00F70DF4">
      <w:pPr>
        <w:spacing w:line="360" w:lineRule="auto"/>
        <w:jc w:val="both"/>
        <w:rPr>
          <w:lang w:val="es-CL"/>
        </w:rPr>
      </w:pPr>
    </w:p>
    <w:p w:rsidR="00F70DF4" w:rsidRDefault="00F70DF4" w:rsidP="00F70DF4">
      <w:pPr>
        <w:spacing w:line="360" w:lineRule="auto"/>
        <w:jc w:val="both"/>
        <w:rPr>
          <w:lang w:val="es-CL"/>
        </w:rPr>
      </w:pPr>
      <w:r w:rsidRPr="00F70DF4">
        <w:rPr>
          <w:lang w:val="es-CL"/>
        </w:rPr>
        <w:t xml:space="preserve">Durante la temporada 2015/2016 los cruceros que recalaran en Chile traerán alrededor de 314.448 pasajeros lo que deriva en una variación porcentual de 45% con respecto a la temporada ya pasada, al igual que en las recaladas en general todos los puertos presentan una variación positiva con respecto a la temporada 2014/2015 a excepción de Coquimbo con un -34%, Puerto Natales con -46%. </w:t>
      </w:r>
    </w:p>
    <w:p w:rsidR="00F70866" w:rsidRPr="00F70DF4" w:rsidRDefault="00F70866" w:rsidP="00F70DF4">
      <w:pPr>
        <w:spacing w:line="360" w:lineRule="auto"/>
        <w:jc w:val="both"/>
        <w:rPr>
          <w:lang w:val="es-CL"/>
        </w:rPr>
      </w:pPr>
    </w:p>
    <w:p w:rsidR="00F70DF4" w:rsidRDefault="00F70DF4" w:rsidP="00F70866">
      <w:pPr>
        <w:jc w:val="both"/>
        <w:rPr>
          <w:lang w:val="es-CL"/>
        </w:rPr>
      </w:pPr>
      <w:r w:rsidRPr="00F70DF4">
        <w:rPr>
          <w:noProof/>
          <w:lang w:val="es-CL" w:eastAsia="es-CL"/>
        </w:rPr>
        <w:drawing>
          <wp:inline distT="0" distB="0" distL="0" distR="0" wp14:anchorId="0AE6CD8D" wp14:editId="5368574A">
            <wp:extent cx="5943600" cy="2562225"/>
            <wp:effectExtent l="0" t="0" r="0"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70866" w:rsidRPr="00F70DF4" w:rsidRDefault="00F70866" w:rsidP="00F70866">
      <w:pPr>
        <w:spacing w:before="240"/>
        <w:jc w:val="both"/>
        <w:rPr>
          <w:sz w:val="18"/>
          <w:szCs w:val="18"/>
          <w:lang w:val="es-CL"/>
        </w:rPr>
      </w:pPr>
      <w:r w:rsidRPr="00F70DF4">
        <w:rPr>
          <w:sz w:val="18"/>
          <w:szCs w:val="18"/>
          <w:lang w:val="es-CL"/>
        </w:rPr>
        <w:t>Fuente: Elaboración propia en base a información de la Corporación de Puertos del Cono Sur.</w:t>
      </w:r>
    </w:p>
    <w:p w:rsidR="00F70866" w:rsidRDefault="00F70866" w:rsidP="00F70DF4">
      <w:pPr>
        <w:spacing w:line="360" w:lineRule="auto"/>
        <w:jc w:val="both"/>
        <w:rPr>
          <w:lang w:val="es-CL"/>
        </w:rPr>
      </w:pPr>
    </w:p>
    <w:p w:rsidR="00F70866" w:rsidRDefault="00F70866">
      <w:pPr>
        <w:rPr>
          <w:rFonts w:eastAsiaTheme="majorEastAsia" w:cstheme="majorBidi"/>
          <w:color w:val="2E74B5" w:themeColor="accent1" w:themeShade="BF"/>
          <w:sz w:val="32"/>
          <w:szCs w:val="32"/>
          <w:lang w:val="es-CL"/>
        </w:rPr>
      </w:pPr>
      <w:r>
        <w:rPr>
          <w:rFonts w:eastAsiaTheme="majorEastAsia" w:cstheme="majorBidi"/>
          <w:color w:val="2E74B5" w:themeColor="accent1" w:themeShade="BF"/>
          <w:sz w:val="32"/>
          <w:szCs w:val="32"/>
          <w:lang w:val="es-CL"/>
        </w:rPr>
        <w:br w:type="page"/>
      </w:r>
    </w:p>
    <w:p w:rsidR="00F70866" w:rsidRPr="00EB2817" w:rsidRDefault="00F70866" w:rsidP="00F70866">
      <w:pPr>
        <w:pStyle w:val="Prrafodelista"/>
        <w:numPr>
          <w:ilvl w:val="0"/>
          <w:numId w:val="1"/>
        </w:numPr>
        <w:spacing w:before="240" w:line="360" w:lineRule="auto"/>
        <w:jc w:val="both"/>
        <w:rPr>
          <w:rFonts w:eastAsiaTheme="majorEastAsia" w:cstheme="majorBidi"/>
          <w:color w:val="2E74B5" w:themeColor="accent1" w:themeShade="BF"/>
          <w:sz w:val="32"/>
          <w:szCs w:val="32"/>
          <w:lang w:val="es-CL"/>
        </w:rPr>
      </w:pPr>
      <w:r w:rsidRPr="00EB2817">
        <w:rPr>
          <w:rFonts w:eastAsiaTheme="majorEastAsia" w:cstheme="majorBidi"/>
          <w:color w:val="2E74B5" w:themeColor="accent1" w:themeShade="BF"/>
          <w:sz w:val="32"/>
          <w:szCs w:val="32"/>
          <w:lang w:val="es-CL"/>
        </w:rPr>
        <w:lastRenderedPageBreak/>
        <w:t>Tripulantes</w:t>
      </w:r>
    </w:p>
    <w:p w:rsidR="00F70DF4" w:rsidRPr="00F70DF4" w:rsidRDefault="00F70DF4" w:rsidP="00F70DF4">
      <w:pPr>
        <w:spacing w:before="240" w:line="360" w:lineRule="auto"/>
        <w:jc w:val="both"/>
        <w:rPr>
          <w:lang w:val="es-CL"/>
        </w:rPr>
      </w:pPr>
      <w:r w:rsidRPr="00F70DF4">
        <w:rPr>
          <w:lang w:val="es-CL"/>
        </w:rPr>
        <w:t>En el caso de tripulantes, la variación con respecto a la temporada anterior es de 41%, donde tan solo en Coquimbo y Puerto Natales existen variaciones negativas de -31% en ambos puertos.</w:t>
      </w:r>
    </w:p>
    <w:p w:rsidR="00F70DF4" w:rsidRDefault="00F70DF4" w:rsidP="00F70866">
      <w:pPr>
        <w:jc w:val="both"/>
        <w:rPr>
          <w:lang w:val="es-CL"/>
        </w:rPr>
      </w:pPr>
      <w:r w:rsidRPr="00F70DF4">
        <w:rPr>
          <w:noProof/>
          <w:lang w:val="es-CL" w:eastAsia="es-CL"/>
        </w:rPr>
        <w:drawing>
          <wp:inline distT="0" distB="0" distL="0" distR="0" wp14:anchorId="64E98D25" wp14:editId="6ED8A76B">
            <wp:extent cx="5943600" cy="2505075"/>
            <wp:effectExtent l="0" t="0" r="0"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70866" w:rsidRPr="00F70DF4" w:rsidRDefault="00F70866" w:rsidP="00F70866">
      <w:pPr>
        <w:spacing w:before="240"/>
        <w:jc w:val="both"/>
        <w:rPr>
          <w:sz w:val="18"/>
          <w:szCs w:val="18"/>
          <w:lang w:val="es-CL"/>
        </w:rPr>
      </w:pPr>
      <w:r w:rsidRPr="00F70DF4">
        <w:rPr>
          <w:sz w:val="18"/>
          <w:szCs w:val="18"/>
          <w:lang w:val="es-CL"/>
        </w:rPr>
        <w:t>Fuente: Elaboración propia en base a información de la Corporación de Puertos del Cono Sur.</w:t>
      </w:r>
    </w:p>
    <w:p w:rsidR="00F70866" w:rsidRPr="00F70DF4" w:rsidRDefault="00F70866" w:rsidP="00F70DF4">
      <w:pPr>
        <w:spacing w:line="360" w:lineRule="auto"/>
        <w:jc w:val="both"/>
        <w:rPr>
          <w:lang w:val="es-CL"/>
        </w:rPr>
      </w:pPr>
    </w:p>
    <w:p w:rsidR="00F70DF4" w:rsidRPr="00F70DF4" w:rsidRDefault="00F70DF4" w:rsidP="00F70866">
      <w:pPr>
        <w:pStyle w:val="Ttulo1"/>
        <w:numPr>
          <w:ilvl w:val="0"/>
          <w:numId w:val="1"/>
        </w:numPr>
        <w:spacing w:line="360" w:lineRule="auto"/>
        <w:jc w:val="both"/>
        <w:rPr>
          <w:rFonts w:asciiTheme="minorHAnsi" w:hAnsiTheme="minorHAnsi"/>
          <w:lang w:val="es-CL"/>
        </w:rPr>
      </w:pPr>
      <w:r w:rsidRPr="00F70DF4">
        <w:rPr>
          <w:rFonts w:asciiTheme="minorHAnsi" w:hAnsiTheme="minorHAnsi"/>
          <w:lang w:val="es-CL"/>
        </w:rPr>
        <w:t xml:space="preserve">Evolución histórica </w:t>
      </w:r>
    </w:p>
    <w:p w:rsidR="00F70DF4" w:rsidRPr="00F70DF4" w:rsidRDefault="00F70DF4" w:rsidP="00F70DF4">
      <w:pPr>
        <w:spacing w:before="240" w:line="360" w:lineRule="auto"/>
        <w:jc w:val="both"/>
        <w:rPr>
          <w:lang w:val="es-CL"/>
        </w:rPr>
      </w:pPr>
      <w:r w:rsidRPr="00F70DF4">
        <w:rPr>
          <w:lang w:val="es-CL"/>
        </w:rPr>
        <w:t xml:space="preserve">La evolución histórica de recaladas muestra un mercado bastante voluble, donde se observa tanto variaciones positivas como negativa, En las últimas 10 temporadas, la de 2007/2008 es la que cuenta con mayor cantidad de recaladas, seguida por lo esperado para 2015/2016. Se observa en la serie que luego de la temporada 2007/2008, comienza un descenso sostenido de las recaladas hasta llegar al mínimo de 140 en la temporada 2010/2011con la variación negativa más amplia de -28%. Luego de este año existe un crecimiento del número de recaladas, hasta la temporada 2012/2013. </w:t>
      </w:r>
    </w:p>
    <w:p w:rsidR="00F70DF4" w:rsidRDefault="00F70DF4" w:rsidP="00F70866">
      <w:pPr>
        <w:jc w:val="both"/>
        <w:rPr>
          <w:lang w:val="es-CL"/>
        </w:rPr>
      </w:pPr>
      <w:r w:rsidRPr="00F70DF4">
        <w:rPr>
          <w:noProof/>
          <w:lang w:val="es-CL" w:eastAsia="es-CL"/>
        </w:rPr>
        <w:lastRenderedPageBreak/>
        <w:drawing>
          <wp:inline distT="0" distB="0" distL="0" distR="0" wp14:anchorId="089BB20E" wp14:editId="580A7211">
            <wp:extent cx="5943600" cy="3122930"/>
            <wp:effectExtent l="0" t="0" r="0" b="127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70866" w:rsidRPr="00F70DF4" w:rsidRDefault="00F70866" w:rsidP="00F70866">
      <w:pPr>
        <w:spacing w:before="240"/>
        <w:jc w:val="both"/>
        <w:rPr>
          <w:sz w:val="18"/>
          <w:szCs w:val="18"/>
          <w:lang w:val="es-CL"/>
        </w:rPr>
      </w:pPr>
      <w:r w:rsidRPr="00F70DF4">
        <w:rPr>
          <w:sz w:val="18"/>
          <w:szCs w:val="18"/>
          <w:lang w:val="es-CL"/>
        </w:rPr>
        <w:t>Fuente: Elaboración propia en base a información de la Corporación de Puertos del Cono Sur.</w:t>
      </w:r>
    </w:p>
    <w:p w:rsidR="00F70866" w:rsidRPr="00F70DF4" w:rsidRDefault="00F70866" w:rsidP="00F70DF4">
      <w:pPr>
        <w:spacing w:line="360" w:lineRule="auto"/>
        <w:jc w:val="both"/>
        <w:rPr>
          <w:lang w:val="es-CL"/>
        </w:rPr>
      </w:pPr>
    </w:p>
    <w:p w:rsidR="00F70DF4" w:rsidRPr="00F70DF4" w:rsidRDefault="00F70DF4" w:rsidP="00F70DF4">
      <w:pPr>
        <w:spacing w:before="240" w:line="360" w:lineRule="auto"/>
        <w:jc w:val="both"/>
        <w:rPr>
          <w:lang w:val="es-CL"/>
        </w:rPr>
      </w:pPr>
      <w:r w:rsidRPr="00F70DF4">
        <w:rPr>
          <w:lang w:val="es-CL"/>
        </w:rPr>
        <w:t>Las llegadas históricas muestran que la cantidad máxima de llegadas se registra en la temporada 2015/2016 con 314.448, seguida de la temporada 2008/2009 con 312.311. El movimiento histórico de llegadas muestra que en la temporada 2010/2011 se registra el menor número de pasajeros con 151.458 con una caída de -34%.</w:t>
      </w:r>
    </w:p>
    <w:p w:rsidR="00F70DF4" w:rsidRDefault="00F70DF4" w:rsidP="00F70866">
      <w:pPr>
        <w:jc w:val="both"/>
        <w:rPr>
          <w:lang w:val="es-CL"/>
        </w:rPr>
      </w:pPr>
      <w:r w:rsidRPr="00F70DF4">
        <w:rPr>
          <w:noProof/>
          <w:lang w:val="es-CL" w:eastAsia="es-CL"/>
        </w:rPr>
        <w:lastRenderedPageBreak/>
        <w:drawing>
          <wp:inline distT="0" distB="0" distL="0" distR="0" wp14:anchorId="23C6CBBF" wp14:editId="1C832280">
            <wp:extent cx="5943600" cy="3122930"/>
            <wp:effectExtent l="0" t="0" r="0" b="127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70866" w:rsidRPr="00F70DF4" w:rsidRDefault="00F70866" w:rsidP="00F70866">
      <w:pPr>
        <w:spacing w:before="240"/>
        <w:jc w:val="both"/>
        <w:rPr>
          <w:sz w:val="18"/>
          <w:szCs w:val="18"/>
          <w:lang w:val="es-CL"/>
        </w:rPr>
      </w:pPr>
      <w:r w:rsidRPr="00F70DF4">
        <w:rPr>
          <w:sz w:val="18"/>
          <w:szCs w:val="18"/>
          <w:lang w:val="es-CL"/>
        </w:rPr>
        <w:t>Fuente: Elaboración propia en base a información de la Corporación de Puertos del Cono Sur.</w:t>
      </w:r>
    </w:p>
    <w:p w:rsidR="00F70866" w:rsidRPr="00F70DF4" w:rsidRDefault="00F70866" w:rsidP="00F70DF4">
      <w:pPr>
        <w:spacing w:line="360" w:lineRule="auto"/>
        <w:jc w:val="both"/>
        <w:rPr>
          <w:lang w:val="es-CL"/>
        </w:rPr>
      </w:pPr>
    </w:p>
    <w:p w:rsidR="00F70DF4" w:rsidRPr="00F70DF4" w:rsidRDefault="00F70DF4" w:rsidP="00F70866">
      <w:pPr>
        <w:jc w:val="both"/>
        <w:rPr>
          <w:lang w:val="es-CL"/>
        </w:rPr>
      </w:pPr>
      <w:r w:rsidRPr="00F70DF4">
        <w:rPr>
          <w:noProof/>
          <w:lang w:val="es-CL" w:eastAsia="es-CL"/>
        </w:rPr>
        <w:drawing>
          <wp:inline distT="0" distB="0" distL="0" distR="0" wp14:anchorId="6DCF403F" wp14:editId="42E0901F">
            <wp:extent cx="5943600" cy="3154045"/>
            <wp:effectExtent l="0" t="0" r="0" b="825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54DB3" w:rsidRPr="00F70DF4" w:rsidRDefault="00754DB3" w:rsidP="00F70866">
      <w:pPr>
        <w:spacing w:before="240"/>
        <w:jc w:val="both"/>
        <w:rPr>
          <w:sz w:val="18"/>
          <w:szCs w:val="18"/>
          <w:lang w:val="es-CL"/>
        </w:rPr>
      </w:pPr>
      <w:r w:rsidRPr="00F70DF4">
        <w:rPr>
          <w:sz w:val="18"/>
          <w:szCs w:val="18"/>
          <w:lang w:val="es-CL"/>
        </w:rPr>
        <w:t>Fuente: Elaboración propia en base a información de la Corporación de Puertos del Cono Sur.</w:t>
      </w:r>
    </w:p>
    <w:p w:rsidR="00754DB3" w:rsidRPr="00F70DF4" w:rsidRDefault="00754DB3" w:rsidP="003624FF">
      <w:pPr>
        <w:spacing w:line="360" w:lineRule="auto"/>
        <w:jc w:val="both"/>
        <w:rPr>
          <w:lang w:val="es-CL"/>
        </w:rPr>
      </w:pPr>
      <w:bookmarkStart w:id="0" w:name="_GoBack"/>
      <w:bookmarkEnd w:id="0"/>
    </w:p>
    <w:sectPr w:rsidR="00754DB3" w:rsidRPr="00F70DF4">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721F" w:rsidRDefault="0021721F">
      <w:r>
        <w:separator/>
      </w:r>
    </w:p>
  </w:endnote>
  <w:endnote w:type="continuationSeparator" w:id="0">
    <w:p w:rsidR="0021721F" w:rsidRDefault="00217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laska">
    <w:altName w:val="Verdana"/>
    <w:charset w:val="00"/>
    <w:family w:val="swiss"/>
    <w:pitch w:val="variable"/>
    <w:sig w:usb0="0000000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087645"/>
      <w:docPartObj>
        <w:docPartGallery w:val="Page Numbers (Bottom of Page)"/>
        <w:docPartUnique/>
      </w:docPartObj>
    </w:sdtPr>
    <w:sdtContent>
      <w:p w:rsidR="00637EC4" w:rsidRDefault="00637EC4">
        <w:pPr>
          <w:pStyle w:val="Piedepgina"/>
          <w:jc w:val="right"/>
        </w:pPr>
        <w:r>
          <w:fldChar w:fldCharType="begin"/>
        </w:r>
        <w:r>
          <w:instrText>PAGE   \* MERGEFORMAT</w:instrText>
        </w:r>
        <w:r>
          <w:fldChar w:fldCharType="separate"/>
        </w:r>
        <w:r w:rsidRPr="00637EC4">
          <w:rPr>
            <w:noProof/>
            <w:lang w:val="es-ES"/>
          </w:rPr>
          <w:t>9</w:t>
        </w:r>
        <w:r>
          <w:fldChar w:fldCharType="end"/>
        </w:r>
      </w:p>
    </w:sdtContent>
  </w:sdt>
  <w:p w:rsidR="00637EC4" w:rsidRPr="00637EC4" w:rsidRDefault="00637EC4" w:rsidP="00637EC4">
    <w:pPr>
      <w:pStyle w:val="Piedepgina"/>
      <w:jc w:val="center"/>
      <w:rPr>
        <w:rFonts w:ascii="Alaska" w:hAnsi="Alaska"/>
        <w:sz w:val="12"/>
        <w:lang w:val="es-CL"/>
      </w:rPr>
    </w:pPr>
    <w:r w:rsidRPr="00637EC4">
      <w:rPr>
        <w:rFonts w:ascii="Alaska" w:hAnsi="Alaska"/>
        <w:sz w:val="12"/>
        <w:lang w:val="es-CL"/>
      </w:rPr>
      <w:t xml:space="preserve">DIVISIÓN DE ESTUDIOS - SUBSECRETARÍA DE TURISMO </w:t>
    </w:r>
  </w:p>
  <w:p w:rsidR="00637EC4" w:rsidRPr="00637EC4" w:rsidRDefault="00637EC4" w:rsidP="00637EC4">
    <w:pPr>
      <w:pStyle w:val="Piedepgina"/>
      <w:jc w:val="center"/>
      <w:rPr>
        <w:rFonts w:ascii="Alaska" w:hAnsi="Alaska"/>
        <w:sz w:val="12"/>
        <w:lang w:val="es-CL"/>
      </w:rPr>
    </w:pPr>
    <w:r w:rsidRPr="00637EC4">
      <w:rPr>
        <w:rFonts w:ascii="Alaska" w:hAnsi="Alaska"/>
        <w:sz w:val="12"/>
        <w:lang w:val="es-CL"/>
      </w:rPr>
      <w:t xml:space="preserve">AVDA. </w:t>
    </w:r>
    <w:proofErr w:type="gramStart"/>
    <w:r w:rsidRPr="00637EC4">
      <w:rPr>
        <w:rFonts w:ascii="Alaska" w:hAnsi="Alaska"/>
        <w:sz w:val="12"/>
        <w:lang w:val="es-CL"/>
      </w:rPr>
      <w:t>LIBERTADOR  BERNARDO</w:t>
    </w:r>
    <w:proofErr w:type="gramEnd"/>
    <w:r w:rsidRPr="00637EC4">
      <w:rPr>
        <w:rFonts w:ascii="Alaska" w:hAnsi="Alaska"/>
        <w:sz w:val="12"/>
        <w:lang w:val="es-CL"/>
      </w:rPr>
      <w:t xml:space="preserve"> O’HIGGINS 1449, TORRE II, PISO 10</w:t>
    </w:r>
  </w:p>
  <w:p w:rsidR="00677384" w:rsidRPr="00637EC4" w:rsidRDefault="00637EC4" w:rsidP="00637EC4">
    <w:pPr>
      <w:pStyle w:val="Piedepgina"/>
      <w:jc w:val="center"/>
      <w:rPr>
        <w:rFonts w:ascii="Alaska" w:hAnsi="Alaska"/>
        <w:sz w:val="12"/>
      </w:rPr>
    </w:pPr>
    <w:r>
      <w:rPr>
        <w:rFonts w:ascii="Alaska" w:hAnsi="Alaska"/>
        <w:sz w:val="12"/>
      </w:rPr>
      <w:t xml:space="preserve">F: +56 2 2473 3629 </w:t>
    </w:r>
    <w:hyperlink r:id="rId1" w:history="1">
      <w:r w:rsidRPr="005018A6">
        <w:rPr>
          <w:rStyle w:val="Hipervnculo"/>
          <w:rFonts w:ascii="Alaska" w:hAnsi="Alaska"/>
          <w:sz w:val="12"/>
        </w:rPr>
        <w:t>www.subturismo.gob.cl</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721F" w:rsidRDefault="0021721F">
      <w:r>
        <w:separator/>
      </w:r>
    </w:p>
  </w:footnote>
  <w:footnote w:type="continuationSeparator" w:id="0">
    <w:p w:rsidR="0021721F" w:rsidRDefault="0021721F">
      <w:r>
        <w:continuationSeparator/>
      </w:r>
    </w:p>
  </w:footnote>
  <w:footnote w:id="1">
    <w:p w:rsidR="00F70DF4" w:rsidRPr="00944437" w:rsidRDefault="00F70DF4" w:rsidP="00F70DF4">
      <w:pPr>
        <w:pStyle w:val="Textonotapie"/>
      </w:pPr>
      <w:r>
        <w:rPr>
          <w:rStyle w:val="Refdenotaalpie"/>
        </w:rPr>
        <w:footnoteRef/>
      </w:r>
      <w:r>
        <w:t xml:space="preserve"> </w:t>
      </w:r>
      <w:r w:rsidRPr="00944437">
        <w:t>Cruise Lines International Association (CLIA), 2012 Industry Update.</w:t>
      </w:r>
    </w:p>
  </w:footnote>
  <w:footnote w:id="2">
    <w:p w:rsidR="00F70DF4" w:rsidRPr="00EC5206" w:rsidRDefault="00F70DF4" w:rsidP="00F70DF4">
      <w:pPr>
        <w:pStyle w:val="Textonotapie"/>
        <w:rPr>
          <w:lang w:val="es-CL"/>
        </w:rPr>
      </w:pPr>
      <w:r>
        <w:rPr>
          <w:rStyle w:val="Refdenotaalpie"/>
        </w:rPr>
        <w:footnoteRef/>
      </w:r>
      <w:r w:rsidRPr="00EC5206">
        <w:rPr>
          <w:lang w:val="es-CL"/>
        </w:rPr>
        <w:t xml:space="preserve"> </w:t>
      </w:r>
      <w:proofErr w:type="spellStart"/>
      <w:r w:rsidRPr="00EC5206">
        <w:rPr>
          <w:lang w:val="es-CL"/>
        </w:rPr>
        <w:t>Cruise</w:t>
      </w:r>
      <w:proofErr w:type="spellEnd"/>
      <w:r w:rsidRPr="00EC5206">
        <w:rPr>
          <w:lang w:val="es-CL"/>
        </w:rPr>
        <w:t xml:space="preserve"> </w:t>
      </w:r>
      <w:proofErr w:type="spellStart"/>
      <w:r w:rsidRPr="00EC5206">
        <w:rPr>
          <w:lang w:val="es-CL"/>
        </w:rPr>
        <w:t>Lines</w:t>
      </w:r>
      <w:proofErr w:type="spellEnd"/>
      <w:r w:rsidRPr="00EC5206">
        <w:rPr>
          <w:lang w:val="es-CL"/>
        </w:rPr>
        <w:t xml:space="preserve"> International </w:t>
      </w:r>
      <w:proofErr w:type="spellStart"/>
      <w:r w:rsidRPr="00EC5206">
        <w:rPr>
          <w:lang w:val="es-CL"/>
        </w:rPr>
        <w:t>Association</w:t>
      </w:r>
      <w:proofErr w:type="spellEnd"/>
      <w:r w:rsidRPr="00EC5206">
        <w:rPr>
          <w:lang w:val="es-CL"/>
        </w:rPr>
        <w:t xml:space="preserve"> (CLIA), 2015 Informe anual “Estado de la Industria de </w:t>
      </w:r>
      <w:r>
        <w:rPr>
          <w:lang w:val="es-CL"/>
        </w:rPr>
        <w:t>C</w:t>
      </w:r>
      <w:r w:rsidRPr="00EC5206">
        <w:rPr>
          <w:lang w:val="es-CL"/>
        </w:rPr>
        <w:t>rucero”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F4" w:rsidRDefault="00F70DF4">
    <w:pPr>
      <w:pStyle w:val="Encabezado"/>
    </w:pPr>
    <w:r>
      <w:rPr>
        <w:noProof/>
        <w:lang w:val="es-CL" w:eastAsia="es-CL"/>
      </w:rPr>
      <w:drawing>
        <wp:inline distT="0" distB="0" distL="0" distR="0" wp14:anchorId="2668B32C" wp14:editId="19AE6C9D">
          <wp:extent cx="842522" cy="69015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RECCION NACIONAL 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2522" cy="690151"/>
                  </a:xfrm>
                  <a:prstGeom prst="rect">
                    <a:avLst/>
                  </a:prstGeom>
                </pic:spPr>
              </pic:pic>
            </a:graphicData>
          </a:graphic>
        </wp:inline>
      </w:drawing>
    </w:r>
  </w:p>
  <w:p w:rsidR="00F70DF4" w:rsidRDefault="00F70DF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451A3E"/>
    <w:multiLevelType w:val="hybridMultilevel"/>
    <w:tmpl w:val="6F9C496C"/>
    <w:lvl w:ilvl="0" w:tplc="C67C306E">
      <w:numFmt w:val="bullet"/>
      <w:lvlText w:val="-"/>
      <w:lvlJc w:val="left"/>
      <w:pPr>
        <w:ind w:left="720" w:hanging="360"/>
      </w:pPr>
      <w:rPr>
        <w:rFonts w:ascii="Calibri" w:eastAsiaTheme="majorEastAsia" w:hAnsi="Calibri" w:cstheme="maj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74BC107A"/>
    <w:multiLevelType w:val="hybridMultilevel"/>
    <w:tmpl w:val="1C845988"/>
    <w:lvl w:ilvl="0" w:tplc="82D48072">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4EA"/>
    <w:rsid w:val="00064F35"/>
    <w:rsid w:val="00093A7A"/>
    <w:rsid w:val="000B277C"/>
    <w:rsid w:val="001155EF"/>
    <w:rsid w:val="0021721F"/>
    <w:rsid w:val="0029070C"/>
    <w:rsid w:val="002D76B1"/>
    <w:rsid w:val="003624FF"/>
    <w:rsid w:val="003B64EA"/>
    <w:rsid w:val="004762E8"/>
    <w:rsid w:val="004E7929"/>
    <w:rsid w:val="00536D23"/>
    <w:rsid w:val="0054775E"/>
    <w:rsid w:val="00581343"/>
    <w:rsid w:val="00624C8D"/>
    <w:rsid w:val="00637EC4"/>
    <w:rsid w:val="00677384"/>
    <w:rsid w:val="006C4DAC"/>
    <w:rsid w:val="00730920"/>
    <w:rsid w:val="00754DB3"/>
    <w:rsid w:val="00776EC2"/>
    <w:rsid w:val="00777C9B"/>
    <w:rsid w:val="0078264D"/>
    <w:rsid w:val="00821E0A"/>
    <w:rsid w:val="00944437"/>
    <w:rsid w:val="009750B0"/>
    <w:rsid w:val="00AF7ACB"/>
    <w:rsid w:val="00B228B5"/>
    <w:rsid w:val="00B24EE1"/>
    <w:rsid w:val="00B339B2"/>
    <w:rsid w:val="00B97DD9"/>
    <w:rsid w:val="00C746C6"/>
    <w:rsid w:val="00CF3E6A"/>
    <w:rsid w:val="00DD2C4B"/>
    <w:rsid w:val="00EB2817"/>
    <w:rsid w:val="00EC5206"/>
    <w:rsid w:val="00F4572F"/>
    <w:rsid w:val="00F70866"/>
    <w:rsid w:val="00F70DF4"/>
    <w:rsid w:val="00F72B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624C8D"/>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680"/>
        <w:tab w:val="right" w:pos="9360"/>
      </w:tabs>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680"/>
        <w:tab w:val="right" w:pos="9360"/>
      </w:tabs>
    </w:pPr>
  </w:style>
  <w:style w:type="character" w:customStyle="1" w:styleId="PiedepginaCar">
    <w:name w:val="Pie de página Car"/>
    <w:basedOn w:val="Fuentedeprrafopredeter"/>
    <w:link w:val="Piedepgina"/>
    <w:uiPriority w:val="99"/>
  </w:style>
  <w:style w:type="paragraph" w:styleId="Citadestacada">
    <w:name w:val="Intense Quote"/>
    <w:basedOn w:val="Normal"/>
    <w:next w:val="Normal"/>
    <w:link w:val="CitadestacadaCar"/>
    <w:uiPriority w:val="30"/>
    <w:qFormat/>
    <w:rsid w:val="003B64E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3B64EA"/>
    <w:rPr>
      <w:i/>
      <w:iCs/>
      <w:color w:val="5B9BD5" w:themeColor="accent1"/>
    </w:rPr>
  </w:style>
  <w:style w:type="paragraph" w:styleId="Textonotapie">
    <w:name w:val="footnote text"/>
    <w:basedOn w:val="Normal"/>
    <w:link w:val="TextonotapieCar"/>
    <w:uiPriority w:val="99"/>
    <w:semiHidden/>
    <w:unhideWhenUsed/>
    <w:rsid w:val="00944437"/>
    <w:rPr>
      <w:sz w:val="20"/>
      <w:szCs w:val="20"/>
    </w:rPr>
  </w:style>
  <w:style w:type="character" w:customStyle="1" w:styleId="TextonotapieCar">
    <w:name w:val="Texto nota pie Car"/>
    <w:basedOn w:val="Fuentedeprrafopredeter"/>
    <w:link w:val="Textonotapie"/>
    <w:uiPriority w:val="99"/>
    <w:semiHidden/>
    <w:rsid w:val="00944437"/>
    <w:rPr>
      <w:sz w:val="20"/>
      <w:szCs w:val="20"/>
    </w:rPr>
  </w:style>
  <w:style w:type="character" w:styleId="Refdenotaalpie">
    <w:name w:val="footnote reference"/>
    <w:basedOn w:val="Fuentedeprrafopredeter"/>
    <w:uiPriority w:val="99"/>
    <w:semiHidden/>
    <w:unhideWhenUsed/>
    <w:rsid w:val="00944437"/>
    <w:rPr>
      <w:vertAlign w:val="superscript"/>
    </w:rPr>
  </w:style>
  <w:style w:type="table" w:styleId="Tabladecuadrcula4-nfasis2">
    <w:name w:val="Grid Table 4 Accent 2"/>
    <w:basedOn w:val="Tablanormal"/>
    <w:uiPriority w:val="49"/>
    <w:rsid w:val="002D76B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Ttulo1Car">
    <w:name w:val="Título 1 Car"/>
    <w:basedOn w:val="Fuentedeprrafopredeter"/>
    <w:link w:val="Ttulo1"/>
    <w:uiPriority w:val="9"/>
    <w:rsid w:val="00624C8D"/>
    <w:rPr>
      <w:rFonts w:asciiTheme="majorHAnsi" w:eastAsiaTheme="majorEastAsia" w:hAnsiTheme="majorHAnsi" w:cstheme="majorBidi"/>
      <w:color w:val="2E74B5" w:themeColor="accent1" w:themeShade="BF"/>
      <w:sz w:val="32"/>
      <w:szCs w:val="32"/>
    </w:rPr>
  </w:style>
  <w:style w:type="character" w:styleId="Textoennegrita">
    <w:name w:val="Strong"/>
    <w:basedOn w:val="Fuentedeprrafopredeter"/>
    <w:uiPriority w:val="22"/>
    <w:qFormat/>
    <w:rsid w:val="004762E8"/>
    <w:rPr>
      <w:b/>
      <w:bCs/>
    </w:rPr>
  </w:style>
  <w:style w:type="paragraph" w:styleId="Prrafodelista">
    <w:name w:val="List Paragraph"/>
    <w:basedOn w:val="Normal"/>
    <w:uiPriority w:val="34"/>
    <w:qFormat/>
    <w:rsid w:val="00EB2817"/>
    <w:pPr>
      <w:ind w:left="720"/>
      <w:contextualSpacing/>
    </w:pPr>
  </w:style>
  <w:style w:type="character" w:styleId="Hipervnculo">
    <w:name w:val="Hyperlink"/>
    <w:rsid w:val="00637EC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38555">
      <w:bodyDiv w:val="1"/>
      <w:marLeft w:val="0"/>
      <w:marRight w:val="0"/>
      <w:marTop w:val="0"/>
      <w:marBottom w:val="0"/>
      <w:divBdr>
        <w:top w:val="none" w:sz="0" w:space="0" w:color="auto"/>
        <w:left w:val="none" w:sz="0" w:space="0" w:color="auto"/>
        <w:bottom w:val="none" w:sz="0" w:space="0" w:color="auto"/>
        <w:right w:val="none" w:sz="0" w:space="0" w:color="auto"/>
      </w:divBdr>
    </w:div>
    <w:div w:id="1640379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customXml" Target="../customXml/item2.xml"/><Relationship Id="rId16" Type="http://schemas.openxmlformats.org/officeDocument/2006/relationships/chart" Target="charts/chart7.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ubturismo.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delacerda\AppData\Roaming\Microsoft\Plantillas\Espaciado%20simple.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Hoja_de_c_lculo_de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a:t>Recaladas proyectadas v/s Recaladas reales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tx>
            <c:strRef>
              <c:f>Hoja2!$D$321</c:f>
              <c:strCache>
                <c:ptCount val="1"/>
                <c:pt idx="0">
                  <c:v>Proyectado 2015/2016</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Hoja2!$B$322:$C$331</c:f>
              <c:multiLvlStrCache>
                <c:ptCount val="10"/>
                <c:lvl>
                  <c:pt idx="0">
                    <c:v>114%</c:v>
                  </c:pt>
                  <c:pt idx="1">
                    <c:v>0%</c:v>
                  </c:pt>
                  <c:pt idx="2">
                    <c:v>100%</c:v>
                  </c:pt>
                  <c:pt idx="3">
                    <c:v>220%</c:v>
                  </c:pt>
                  <c:pt idx="4">
                    <c:v>2%</c:v>
                  </c:pt>
                  <c:pt idx="5">
                    <c:v>0%</c:v>
                  </c:pt>
                  <c:pt idx="6">
                    <c:v>0%</c:v>
                  </c:pt>
                  <c:pt idx="7">
                    <c:v>4%</c:v>
                  </c:pt>
                  <c:pt idx="8">
                    <c:v>2%</c:v>
                  </c:pt>
                  <c:pt idx="9">
                    <c:v>0%</c:v>
                  </c:pt>
                </c:lvl>
                <c:lvl>
                  <c:pt idx="0">
                    <c:v>Arica</c:v>
                  </c:pt>
                  <c:pt idx="1">
                    <c:v>Iquique</c:v>
                  </c:pt>
                  <c:pt idx="2">
                    <c:v>Antofagasta</c:v>
                  </c:pt>
                  <c:pt idx="3">
                    <c:v>Coquimbo</c:v>
                  </c:pt>
                  <c:pt idx="4">
                    <c:v>Valparaiso</c:v>
                  </c:pt>
                  <c:pt idx="5">
                    <c:v>Puerto Montt</c:v>
                  </c:pt>
                  <c:pt idx="6">
                    <c:v>Castro</c:v>
                  </c:pt>
                  <c:pt idx="7">
                    <c:v>Chacabuco</c:v>
                  </c:pt>
                  <c:pt idx="8">
                    <c:v>Punta Arenas</c:v>
                  </c:pt>
                  <c:pt idx="9">
                    <c:v>Puerto Natales</c:v>
                  </c:pt>
                </c:lvl>
              </c:multiLvlStrCache>
            </c:multiLvlStrRef>
          </c:cat>
          <c:val>
            <c:numRef>
              <c:f>Hoja2!$D$322:$D$331</c:f>
              <c:numCache>
                <c:formatCode>#,##0</c:formatCode>
                <c:ptCount val="10"/>
                <c:pt idx="0">
                  <c:v>7</c:v>
                </c:pt>
                <c:pt idx="1">
                  <c:v>6</c:v>
                </c:pt>
                <c:pt idx="2">
                  <c:v>2</c:v>
                </c:pt>
                <c:pt idx="3">
                  <c:v>5</c:v>
                </c:pt>
                <c:pt idx="4">
                  <c:v>43</c:v>
                </c:pt>
                <c:pt idx="5">
                  <c:v>51</c:v>
                </c:pt>
                <c:pt idx="6">
                  <c:v>12</c:v>
                </c:pt>
                <c:pt idx="7">
                  <c:v>28</c:v>
                </c:pt>
                <c:pt idx="8">
                  <c:v>55</c:v>
                </c:pt>
                <c:pt idx="9">
                  <c:v>3</c:v>
                </c:pt>
              </c:numCache>
            </c:numRef>
          </c:val>
        </c:ser>
        <c:ser>
          <c:idx val="1"/>
          <c:order val="1"/>
          <c:tx>
            <c:strRef>
              <c:f>Hoja2!$E$321</c:f>
              <c:strCache>
                <c:ptCount val="1"/>
                <c:pt idx="0">
                  <c:v>Real 2015/2016</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Hoja2!$B$322:$C$331</c:f>
              <c:multiLvlStrCache>
                <c:ptCount val="10"/>
                <c:lvl>
                  <c:pt idx="0">
                    <c:v>114%</c:v>
                  </c:pt>
                  <c:pt idx="1">
                    <c:v>0%</c:v>
                  </c:pt>
                  <c:pt idx="2">
                    <c:v>100%</c:v>
                  </c:pt>
                  <c:pt idx="3">
                    <c:v>220%</c:v>
                  </c:pt>
                  <c:pt idx="4">
                    <c:v>2%</c:v>
                  </c:pt>
                  <c:pt idx="5">
                    <c:v>0%</c:v>
                  </c:pt>
                  <c:pt idx="6">
                    <c:v>0%</c:v>
                  </c:pt>
                  <c:pt idx="7">
                    <c:v>4%</c:v>
                  </c:pt>
                  <c:pt idx="8">
                    <c:v>2%</c:v>
                  </c:pt>
                  <c:pt idx="9">
                    <c:v>0%</c:v>
                  </c:pt>
                </c:lvl>
                <c:lvl>
                  <c:pt idx="0">
                    <c:v>Arica</c:v>
                  </c:pt>
                  <c:pt idx="1">
                    <c:v>Iquique</c:v>
                  </c:pt>
                  <c:pt idx="2">
                    <c:v>Antofagasta</c:v>
                  </c:pt>
                  <c:pt idx="3">
                    <c:v>Coquimbo</c:v>
                  </c:pt>
                  <c:pt idx="4">
                    <c:v>Valparaiso</c:v>
                  </c:pt>
                  <c:pt idx="5">
                    <c:v>Puerto Montt</c:v>
                  </c:pt>
                  <c:pt idx="6">
                    <c:v>Castro</c:v>
                  </c:pt>
                  <c:pt idx="7">
                    <c:v>Chacabuco</c:v>
                  </c:pt>
                  <c:pt idx="8">
                    <c:v>Punta Arenas</c:v>
                  </c:pt>
                  <c:pt idx="9">
                    <c:v>Puerto Natales</c:v>
                  </c:pt>
                </c:lvl>
              </c:multiLvlStrCache>
            </c:multiLvlStrRef>
          </c:cat>
          <c:val>
            <c:numRef>
              <c:f>Hoja2!$E$322:$E$331</c:f>
              <c:numCache>
                <c:formatCode>General</c:formatCode>
                <c:ptCount val="10"/>
                <c:pt idx="0">
                  <c:v>15</c:v>
                </c:pt>
                <c:pt idx="1">
                  <c:v>6</c:v>
                </c:pt>
                <c:pt idx="2">
                  <c:v>4</c:v>
                </c:pt>
                <c:pt idx="3">
                  <c:v>16</c:v>
                </c:pt>
                <c:pt idx="4">
                  <c:v>44</c:v>
                </c:pt>
                <c:pt idx="5">
                  <c:v>51</c:v>
                </c:pt>
                <c:pt idx="6">
                  <c:v>12</c:v>
                </c:pt>
                <c:pt idx="7">
                  <c:v>29</c:v>
                </c:pt>
                <c:pt idx="8">
                  <c:v>56</c:v>
                </c:pt>
                <c:pt idx="9">
                  <c:v>3</c:v>
                </c:pt>
              </c:numCache>
            </c:numRef>
          </c:val>
        </c:ser>
        <c:dLbls>
          <c:showLegendKey val="0"/>
          <c:showVal val="1"/>
          <c:showCatName val="0"/>
          <c:showSerName val="0"/>
          <c:showPercent val="0"/>
          <c:showBubbleSize val="0"/>
        </c:dLbls>
        <c:gapWidth val="150"/>
        <c:overlap val="-25"/>
        <c:axId val="378641776"/>
        <c:axId val="378640600"/>
      </c:barChart>
      <c:catAx>
        <c:axId val="37864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378640600"/>
        <c:crosses val="autoZero"/>
        <c:auto val="1"/>
        <c:lblAlgn val="ctr"/>
        <c:lblOffset val="100"/>
        <c:noMultiLvlLbl val="0"/>
      </c:catAx>
      <c:valAx>
        <c:axId val="378640600"/>
        <c:scaling>
          <c:orientation val="minMax"/>
        </c:scaling>
        <c:delete val="1"/>
        <c:axPos val="l"/>
        <c:numFmt formatCode="#,##0" sourceLinked="1"/>
        <c:majorTickMark val="none"/>
        <c:minorTickMark val="none"/>
        <c:tickLblPos val="nextTo"/>
        <c:crossAx val="3786417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a:t>Pasajeros proyectados v/s Pasajeros reales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tx>
            <c:strRef>
              <c:f>Hoja2!$D$356</c:f>
              <c:strCache>
                <c:ptCount val="1"/>
                <c:pt idx="0">
                  <c:v>Proyectado 2015/2016</c:v>
                </c:pt>
              </c:strCache>
            </c:strRef>
          </c:tx>
          <c:spPr>
            <a:solidFill>
              <a:schemeClr val="accent2">
                <a:shade val="76000"/>
              </a:schemeClr>
            </a:solidFill>
            <a:ln>
              <a:noFill/>
            </a:ln>
            <a:effectLst/>
          </c:spPr>
          <c:invertIfNegative val="0"/>
          <c:dLbls>
            <c:dLbl>
              <c:idx val="0"/>
              <c:layout>
                <c:manualLayout>
                  <c:x val="-6.41025641025641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0683760683760684E-2"/>
                  <c:y val="4.5977011494252032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4102564102564491E-3"/>
                  <c:y val="-8.4290214011718579E-17"/>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0683760683760684E-2"/>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2820512820512898E-2"/>
                  <c:y val="-4.2145107005859289E-17"/>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0683760683760762E-2"/>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0683760683760762E-2"/>
                  <c:y val="1.3793103448275862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282051282051282E-2"/>
                  <c:y val="9.195402298850574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Hoja2!$B$357:$C$366</c:f>
              <c:multiLvlStrCache>
                <c:ptCount val="10"/>
                <c:lvl>
                  <c:pt idx="0">
                    <c:v>104%</c:v>
                  </c:pt>
                  <c:pt idx="1">
                    <c:v>0%</c:v>
                  </c:pt>
                  <c:pt idx="2">
                    <c:v>115%</c:v>
                  </c:pt>
                  <c:pt idx="3">
                    <c:v>1262%</c:v>
                  </c:pt>
                  <c:pt idx="4">
                    <c:v>32%</c:v>
                  </c:pt>
                  <c:pt idx="5">
                    <c:v>-3%</c:v>
                  </c:pt>
                  <c:pt idx="6">
                    <c:v>0%</c:v>
                  </c:pt>
                  <c:pt idx="7">
                    <c:v>5%</c:v>
                  </c:pt>
                  <c:pt idx="8">
                    <c:v>1%</c:v>
                  </c:pt>
                  <c:pt idx="9">
                    <c:v>0%</c:v>
                  </c:pt>
                </c:lvl>
                <c:lvl>
                  <c:pt idx="0">
                    <c:v>Arica</c:v>
                  </c:pt>
                  <c:pt idx="1">
                    <c:v>Iquique</c:v>
                  </c:pt>
                  <c:pt idx="2">
                    <c:v>Antofagasta</c:v>
                  </c:pt>
                  <c:pt idx="3">
                    <c:v>Coquimbo</c:v>
                  </c:pt>
                  <c:pt idx="4">
                    <c:v>Valparaiso</c:v>
                  </c:pt>
                  <c:pt idx="5">
                    <c:v>Puerto Montt</c:v>
                  </c:pt>
                  <c:pt idx="6">
                    <c:v>Castro</c:v>
                  </c:pt>
                  <c:pt idx="7">
                    <c:v>Chacabuco</c:v>
                  </c:pt>
                  <c:pt idx="8">
                    <c:v>Punta Arenas</c:v>
                  </c:pt>
                  <c:pt idx="9">
                    <c:v>Puerto Natales</c:v>
                  </c:pt>
                </c:lvl>
              </c:multiLvlStrCache>
            </c:multiLvlStrRef>
          </c:cat>
          <c:val>
            <c:numRef>
              <c:f>Hoja2!$D$357:$D$366</c:f>
              <c:numCache>
                <c:formatCode>#,##0</c:formatCode>
                <c:ptCount val="10"/>
                <c:pt idx="0">
                  <c:v>6502</c:v>
                </c:pt>
                <c:pt idx="1">
                  <c:v>3339</c:v>
                </c:pt>
                <c:pt idx="2">
                  <c:v>282</c:v>
                </c:pt>
                <c:pt idx="3">
                  <c:v>1096</c:v>
                </c:pt>
                <c:pt idx="4">
                  <c:v>64459</c:v>
                </c:pt>
                <c:pt idx="5">
                  <c:v>71046</c:v>
                </c:pt>
                <c:pt idx="6">
                  <c:v>7680</c:v>
                </c:pt>
                <c:pt idx="7">
                  <c:v>37677</c:v>
                </c:pt>
                <c:pt idx="8">
                  <c:v>80216</c:v>
                </c:pt>
                <c:pt idx="9">
                  <c:v>435</c:v>
                </c:pt>
              </c:numCache>
            </c:numRef>
          </c:val>
        </c:ser>
        <c:ser>
          <c:idx val="1"/>
          <c:order val="1"/>
          <c:tx>
            <c:strRef>
              <c:f>Hoja2!$E$356</c:f>
              <c:strCache>
                <c:ptCount val="1"/>
                <c:pt idx="0">
                  <c:v>Real 2015/2016</c:v>
                </c:pt>
              </c:strCache>
            </c:strRef>
          </c:tx>
          <c:spPr>
            <a:solidFill>
              <a:schemeClr val="accent2">
                <a:tint val="77000"/>
              </a:schemeClr>
            </a:solidFill>
            <a:ln>
              <a:noFill/>
            </a:ln>
            <a:effectLst/>
          </c:spPr>
          <c:invertIfNegative val="0"/>
          <c:dLbls>
            <c:dLbl>
              <c:idx val="0"/>
              <c:layout>
                <c:manualLayout>
                  <c:x val="1.0683760683760684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5470085470085479E-3"/>
                  <c:y val="4.5977011494252032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5470085470085479E-3"/>
                  <c:y val="4.5977011494252873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4957264957264878E-2"/>
                  <c:y val="4.5977011494252448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282051282051282E-2"/>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0683760683760684E-2"/>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282051282051282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Hoja2!$B$357:$C$366</c:f>
              <c:multiLvlStrCache>
                <c:ptCount val="10"/>
                <c:lvl>
                  <c:pt idx="0">
                    <c:v>104%</c:v>
                  </c:pt>
                  <c:pt idx="1">
                    <c:v>0%</c:v>
                  </c:pt>
                  <c:pt idx="2">
                    <c:v>115%</c:v>
                  </c:pt>
                  <c:pt idx="3">
                    <c:v>1262%</c:v>
                  </c:pt>
                  <c:pt idx="4">
                    <c:v>32%</c:v>
                  </c:pt>
                  <c:pt idx="5">
                    <c:v>-3%</c:v>
                  </c:pt>
                  <c:pt idx="6">
                    <c:v>0%</c:v>
                  </c:pt>
                  <c:pt idx="7">
                    <c:v>5%</c:v>
                  </c:pt>
                  <c:pt idx="8">
                    <c:v>1%</c:v>
                  </c:pt>
                  <c:pt idx="9">
                    <c:v>0%</c:v>
                  </c:pt>
                </c:lvl>
                <c:lvl>
                  <c:pt idx="0">
                    <c:v>Arica</c:v>
                  </c:pt>
                  <c:pt idx="1">
                    <c:v>Iquique</c:v>
                  </c:pt>
                  <c:pt idx="2">
                    <c:v>Antofagasta</c:v>
                  </c:pt>
                  <c:pt idx="3">
                    <c:v>Coquimbo</c:v>
                  </c:pt>
                  <c:pt idx="4">
                    <c:v>Valparaiso</c:v>
                  </c:pt>
                  <c:pt idx="5">
                    <c:v>Puerto Montt</c:v>
                  </c:pt>
                  <c:pt idx="6">
                    <c:v>Castro</c:v>
                  </c:pt>
                  <c:pt idx="7">
                    <c:v>Chacabuco</c:v>
                  </c:pt>
                  <c:pt idx="8">
                    <c:v>Punta Arenas</c:v>
                  </c:pt>
                  <c:pt idx="9">
                    <c:v>Puerto Natales</c:v>
                  </c:pt>
                </c:lvl>
              </c:multiLvlStrCache>
            </c:multiLvlStrRef>
          </c:cat>
          <c:val>
            <c:numRef>
              <c:f>Hoja2!$E$357:$E$366</c:f>
              <c:numCache>
                <c:formatCode>#,##0</c:formatCode>
                <c:ptCount val="10"/>
                <c:pt idx="0">
                  <c:v>13270</c:v>
                </c:pt>
                <c:pt idx="1">
                  <c:v>3339</c:v>
                </c:pt>
                <c:pt idx="2">
                  <c:v>607</c:v>
                </c:pt>
                <c:pt idx="3">
                  <c:v>14929</c:v>
                </c:pt>
                <c:pt idx="4">
                  <c:v>85125</c:v>
                </c:pt>
                <c:pt idx="5">
                  <c:v>68752</c:v>
                </c:pt>
                <c:pt idx="6">
                  <c:v>7680</c:v>
                </c:pt>
                <c:pt idx="7">
                  <c:v>39475</c:v>
                </c:pt>
                <c:pt idx="8">
                  <c:v>80836</c:v>
                </c:pt>
                <c:pt idx="9">
                  <c:v>435</c:v>
                </c:pt>
              </c:numCache>
            </c:numRef>
          </c:val>
        </c:ser>
        <c:dLbls>
          <c:showLegendKey val="0"/>
          <c:showVal val="1"/>
          <c:showCatName val="0"/>
          <c:showSerName val="0"/>
          <c:showPercent val="0"/>
          <c:showBubbleSize val="0"/>
        </c:dLbls>
        <c:gapWidth val="150"/>
        <c:overlap val="-25"/>
        <c:axId val="378641384"/>
        <c:axId val="244646272"/>
      </c:barChart>
      <c:catAx>
        <c:axId val="378641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244646272"/>
        <c:crosses val="autoZero"/>
        <c:auto val="1"/>
        <c:lblAlgn val="ctr"/>
        <c:lblOffset val="100"/>
        <c:noMultiLvlLbl val="0"/>
      </c:catAx>
      <c:valAx>
        <c:axId val="244646272"/>
        <c:scaling>
          <c:orientation val="minMax"/>
        </c:scaling>
        <c:delete val="1"/>
        <c:axPos val="l"/>
        <c:numFmt formatCode="#,##0" sourceLinked="1"/>
        <c:majorTickMark val="none"/>
        <c:minorTickMark val="none"/>
        <c:tickLblPos val="nextTo"/>
        <c:crossAx val="3786413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a:t>Recaladas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tx>
            <c:strRef>
              <c:f>Hoja2!$D$68</c:f>
              <c:strCache>
                <c:ptCount val="1"/>
                <c:pt idx="0">
                  <c:v>2015/2016</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Hoja2!$B$69:$C$78</c:f>
              <c:multiLvlStrCache>
                <c:ptCount val="10"/>
                <c:lvl>
                  <c:pt idx="0">
                    <c:v>150%</c:v>
                  </c:pt>
                  <c:pt idx="1">
                    <c:v>100%</c:v>
                  </c:pt>
                  <c:pt idx="2">
                    <c:v>-</c:v>
                  </c:pt>
                  <c:pt idx="3">
                    <c:v>7%</c:v>
                  </c:pt>
                  <c:pt idx="4">
                    <c:v>33%</c:v>
                  </c:pt>
                  <c:pt idx="5">
                    <c:v>34%</c:v>
                  </c:pt>
                  <c:pt idx="6">
                    <c:v>50%</c:v>
                  </c:pt>
                  <c:pt idx="7">
                    <c:v>81%</c:v>
                  </c:pt>
                  <c:pt idx="8">
                    <c:v>56%</c:v>
                  </c:pt>
                  <c:pt idx="9">
                    <c:v>-50%</c:v>
                  </c:pt>
                </c:lvl>
                <c:lvl>
                  <c:pt idx="0">
                    <c:v>Arica</c:v>
                  </c:pt>
                  <c:pt idx="1">
                    <c:v>Iquique</c:v>
                  </c:pt>
                  <c:pt idx="2">
                    <c:v>Antofagasta</c:v>
                  </c:pt>
                  <c:pt idx="3">
                    <c:v>Coquimbo</c:v>
                  </c:pt>
                  <c:pt idx="4">
                    <c:v>Valparaiso</c:v>
                  </c:pt>
                  <c:pt idx="5">
                    <c:v>Puerto Montt</c:v>
                  </c:pt>
                  <c:pt idx="6">
                    <c:v>Castro</c:v>
                  </c:pt>
                  <c:pt idx="7">
                    <c:v>Chacabuco</c:v>
                  </c:pt>
                  <c:pt idx="8">
                    <c:v>Punta Arenas</c:v>
                  </c:pt>
                  <c:pt idx="9">
                    <c:v>Puerto Natales</c:v>
                  </c:pt>
                </c:lvl>
              </c:multiLvlStrCache>
            </c:multiLvlStrRef>
          </c:cat>
          <c:val>
            <c:numRef>
              <c:f>Hoja2!$D$69:$D$78</c:f>
              <c:numCache>
                <c:formatCode>#,##0</c:formatCode>
                <c:ptCount val="10"/>
                <c:pt idx="0">
                  <c:v>15</c:v>
                </c:pt>
                <c:pt idx="1">
                  <c:v>6</c:v>
                </c:pt>
                <c:pt idx="2">
                  <c:v>4</c:v>
                </c:pt>
                <c:pt idx="3">
                  <c:v>16</c:v>
                </c:pt>
                <c:pt idx="4">
                  <c:v>44</c:v>
                </c:pt>
                <c:pt idx="5">
                  <c:v>51</c:v>
                </c:pt>
                <c:pt idx="6">
                  <c:v>12</c:v>
                </c:pt>
                <c:pt idx="7">
                  <c:v>29</c:v>
                </c:pt>
                <c:pt idx="8">
                  <c:v>56</c:v>
                </c:pt>
                <c:pt idx="9">
                  <c:v>3</c:v>
                </c:pt>
              </c:numCache>
            </c:numRef>
          </c:val>
        </c:ser>
        <c:ser>
          <c:idx val="1"/>
          <c:order val="1"/>
          <c:tx>
            <c:strRef>
              <c:f>Hoja2!$E$68</c:f>
              <c:strCache>
                <c:ptCount val="1"/>
                <c:pt idx="0">
                  <c:v>2014/2015</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Hoja2!$B$69:$C$78</c:f>
              <c:multiLvlStrCache>
                <c:ptCount val="10"/>
                <c:lvl>
                  <c:pt idx="0">
                    <c:v>150%</c:v>
                  </c:pt>
                  <c:pt idx="1">
                    <c:v>100%</c:v>
                  </c:pt>
                  <c:pt idx="2">
                    <c:v>-</c:v>
                  </c:pt>
                  <c:pt idx="3">
                    <c:v>7%</c:v>
                  </c:pt>
                  <c:pt idx="4">
                    <c:v>33%</c:v>
                  </c:pt>
                  <c:pt idx="5">
                    <c:v>34%</c:v>
                  </c:pt>
                  <c:pt idx="6">
                    <c:v>50%</c:v>
                  </c:pt>
                  <c:pt idx="7">
                    <c:v>81%</c:v>
                  </c:pt>
                  <c:pt idx="8">
                    <c:v>56%</c:v>
                  </c:pt>
                  <c:pt idx="9">
                    <c:v>-50%</c:v>
                  </c:pt>
                </c:lvl>
                <c:lvl>
                  <c:pt idx="0">
                    <c:v>Arica</c:v>
                  </c:pt>
                  <c:pt idx="1">
                    <c:v>Iquique</c:v>
                  </c:pt>
                  <c:pt idx="2">
                    <c:v>Antofagasta</c:v>
                  </c:pt>
                  <c:pt idx="3">
                    <c:v>Coquimbo</c:v>
                  </c:pt>
                  <c:pt idx="4">
                    <c:v>Valparaiso</c:v>
                  </c:pt>
                  <c:pt idx="5">
                    <c:v>Puerto Montt</c:v>
                  </c:pt>
                  <c:pt idx="6">
                    <c:v>Castro</c:v>
                  </c:pt>
                  <c:pt idx="7">
                    <c:v>Chacabuco</c:v>
                  </c:pt>
                  <c:pt idx="8">
                    <c:v>Punta Arenas</c:v>
                  </c:pt>
                  <c:pt idx="9">
                    <c:v>Puerto Natales</c:v>
                  </c:pt>
                </c:lvl>
              </c:multiLvlStrCache>
            </c:multiLvlStrRef>
          </c:cat>
          <c:val>
            <c:numRef>
              <c:f>Hoja2!$E$69:$E$78</c:f>
              <c:numCache>
                <c:formatCode>General</c:formatCode>
                <c:ptCount val="10"/>
                <c:pt idx="0">
                  <c:v>6</c:v>
                </c:pt>
                <c:pt idx="1">
                  <c:v>3</c:v>
                </c:pt>
                <c:pt idx="2">
                  <c:v>0</c:v>
                </c:pt>
                <c:pt idx="3">
                  <c:v>15</c:v>
                </c:pt>
                <c:pt idx="4">
                  <c:v>33</c:v>
                </c:pt>
                <c:pt idx="5">
                  <c:v>38</c:v>
                </c:pt>
                <c:pt idx="6">
                  <c:v>8</c:v>
                </c:pt>
                <c:pt idx="7">
                  <c:v>16</c:v>
                </c:pt>
                <c:pt idx="8">
                  <c:v>36</c:v>
                </c:pt>
                <c:pt idx="9">
                  <c:v>6</c:v>
                </c:pt>
              </c:numCache>
            </c:numRef>
          </c:val>
        </c:ser>
        <c:dLbls>
          <c:showLegendKey val="0"/>
          <c:showVal val="1"/>
          <c:showCatName val="0"/>
          <c:showSerName val="0"/>
          <c:showPercent val="0"/>
          <c:showBubbleSize val="0"/>
        </c:dLbls>
        <c:gapWidth val="150"/>
        <c:overlap val="-25"/>
        <c:axId val="244645488"/>
        <c:axId val="244652936"/>
      </c:barChart>
      <c:catAx>
        <c:axId val="24464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244652936"/>
        <c:crosses val="autoZero"/>
        <c:auto val="1"/>
        <c:lblAlgn val="ctr"/>
        <c:lblOffset val="100"/>
        <c:noMultiLvlLbl val="0"/>
      </c:catAx>
      <c:valAx>
        <c:axId val="244652936"/>
        <c:scaling>
          <c:orientation val="minMax"/>
        </c:scaling>
        <c:delete val="1"/>
        <c:axPos val="l"/>
        <c:numFmt formatCode="#,##0" sourceLinked="1"/>
        <c:majorTickMark val="none"/>
        <c:minorTickMark val="none"/>
        <c:tickLblPos val="nextTo"/>
        <c:crossAx val="2446454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a:t>Pasajeros (PAX)</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tx>
            <c:strRef>
              <c:f>Hoja2!$D$103</c:f>
              <c:strCache>
                <c:ptCount val="1"/>
                <c:pt idx="0">
                  <c:v>2015/2016</c:v>
                </c:pt>
              </c:strCache>
            </c:strRef>
          </c:tx>
          <c:spPr>
            <a:solidFill>
              <a:schemeClr val="accent5">
                <a:shade val="76000"/>
              </a:schemeClr>
            </a:solidFill>
            <a:ln>
              <a:noFill/>
            </a:ln>
            <a:effectLst/>
          </c:spPr>
          <c:invertIfNegative val="0"/>
          <c:dLbls>
            <c:dLbl>
              <c:idx val="1"/>
              <c:layout>
                <c:manualLayout>
                  <c:x val="-6.41025641025641E-3"/>
                  <c:y val="-9.0870490942001433E-1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0683760683760684E-2"/>
                  <c:y val="1.486988847583643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5363315765652827E-3"/>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6.410256410256489E-3"/>
                  <c:y val="0"/>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6.41025641025641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Hoja2!$B$104:$C$113</c:f>
              <c:multiLvlStrCache>
                <c:ptCount val="10"/>
                <c:lvl>
                  <c:pt idx="0">
                    <c:v>136%</c:v>
                  </c:pt>
                  <c:pt idx="1">
                    <c:v>123%</c:v>
                  </c:pt>
                  <c:pt idx="2">
                    <c:v>-</c:v>
                  </c:pt>
                  <c:pt idx="3">
                    <c:v>-34%</c:v>
                  </c:pt>
                  <c:pt idx="4">
                    <c:v>28%</c:v>
                  </c:pt>
                  <c:pt idx="5">
                    <c:v>31%</c:v>
                  </c:pt>
                  <c:pt idx="6">
                    <c:v>98%</c:v>
                  </c:pt>
                  <c:pt idx="7">
                    <c:v>95%</c:v>
                  </c:pt>
                  <c:pt idx="8">
                    <c:v>89%</c:v>
                  </c:pt>
                  <c:pt idx="9">
                    <c:v>-46%</c:v>
                  </c:pt>
                </c:lvl>
                <c:lvl>
                  <c:pt idx="0">
                    <c:v>Arica</c:v>
                  </c:pt>
                  <c:pt idx="1">
                    <c:v>Iquique</c:v>
                  </c:pt>
                  <c:pt idx="2">
                    <c:v>Antofagasta</c:v>
                  </c:pt>
                  <c:pt idx="3">
                    <c:v>Coquimbo</c:v>
                  </c:pt>
                  <c:pt idx="4">
                    <c:v>Valparaiso</c:v>
                  </c:pt>
                  <c:pt idx="5">
                    <c:v>Puerto Montt</c:v>
                  </c:pt>
                  <c:pt idx="6">
                    <c:v>Castro</c:v>
                  </c:pt>
                  <c:pt idx="7">
                    <c:v>Chacabuco</c:v>
                  </c:pt>
                  <c:pt idx="8">
                    <c:v>Punta Arenas</c:v>
                  </c:pt>
                  <c:pt idx="9">
                    <c:v>Puerto Natales</c:v>
                  </c:pt>
                </c:lvl>
              </c:multiLvlStrCache>
            </c:multiLvlStrRef>
          </c:cat>
          <c:val>
            <c:numRef>
              <c:f>Hoja2!$D$104:$D$113</c:f>
              <c:numCache>
                <c:formatCode>#,##0</c:formatCode>
                <c:ptCount val="10"/>
                <c:pt idx="0">
                  <c:v>13270</c:v>
                </c:pt>
                <c:pt idx="1">
                  <c:v>3339</c:v>
                </c:pt>
                <c:pt idx="2">
                  <c:v>607</c:v>
                </c:pt>
                <c:pt idx="3">
                  <c:v>14929</c:v>
                </c:pt>
                <c:pt idx="4">
                  <c:v>85125</c:v>
                </c:pt>
                <c:pt idx="5">
                  <c:v>68752</c:v>
                </c:pt>
                <c:pt idx="6">
                  <c:v>7680</c:v>
                </c:pt>
                <c:pt idx="7">
                  <c:v>39475</c:v>
                </c:pt>
                <c:pt idx="8">
                  <c:v>80836</c:v>
                </c:pt>
                <c:pt idx="9">
                  <c:v>435</c:v>
                </c:pt>
              </c:numCache>
            </c:numRef>
          </c:val>
        </c:ser>
        <c:ser>
          <c:idx val="1"/>
          <c:order val="1"/>
          <c:tx>
            <c:strRef>
              <c:f>Hoja2!$E$103</c:f>
              <c:strCache>
                <c:ptCount val="1"/>
                <c:pt idx="0">
                  <c:v>2014/2015</c:v>
                </c:pt>
              </c:strCache>
            </c:strRef>
          </c:tx>
          <c:spPr>
            <a:solidFill>
              <a:schemeClr val="accent5">
                <a:tint val="77000"/>
              </a:schemeClr>
            </a:solidFill>
            <a:ln>
              <a:noFill/>
            </a:ln>
            <a:effectLst/>
          </c:spPr>
          <c:invertIfNegative val="0"/>
          <c:dLbls>
            <c:dLbl>
              <c:idx val="0"/>
              <c:layout>
                <c:manualLayout>
                  <c:x val="4.2735042735042635E-3"/>
                  <c:y val="9.9132589838909543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273504273504254E-3"/>
                  <c:y val="9.9132589838908641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0683760683760684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3044973648478473E-3"/>
                  <c:y val="-6.926869373518257E-17"/>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410256410256332E-3"/>
                  <c:y val="4.9566294919453861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6.410256410256332E-3"/>
                  <c:y val="-9.0870490942001433E-17"/>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0683760683760684E-2"/>
                  <c:y val="1.4869888475836431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0683760683760528E-2"/>
                  <c:y val="1.4869888475836431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6.41025641025641E-3"/>
                  <c:y val="4.956629491945477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Hoja2!$B$104:$C$113</c:f>
              <c:multiLvlStrCache>
                <c:ptCount val="10"/>
                <c:lvl>
                  <c:pt idx="0">
                    <c:v>136%</c:v>
                  </c:pt>
                  <c:pt idx="1">
                    <c:v>123%</c:v>
                  </c:pt>
                  <c:pt idx="2">
                    <c:v>-</c:v>
                  </c:pt>
                  <c:pt idx="3">
                    <c:v>-34%</c:v>
                  </c:pt>
                  <c:pt idx="4">
                    <c:v>28%</c:v>
                  </c:pt>
                  <c:pt idx="5">
                    <c:v>31%</c:v>
                  </c:pt>
                  <c:pt idx="6">
                    <c:v>98%</c:v>
                  </c:pt>
                  <c:pt idx="7">
                    <c:v>95%</c:v>
                  </c:pt>
                  <c:pt idx="8">
                    <c:v>89%</c:v>
                  </c:pt>
                  <c:pt idx="9">
                    <c:v>-46%</c:v>
                  </c:pt>
                </c:lvl>
                <c:lvl>
                  <c:pt idx="0">
                    <c:v>Arica</c:v>
                  </c:pt>
                  <c:pt idx="1">
                    <c:v>Iquique</c:v>
                  </c:pt>
                  <c:pt idx="2">
                    <c:v>Antofagasta</c:v>
                  </c:pt>
                  <c:pt idx="3">
                    <c:v>Coquimbo</c:v>
                  </c:pt>
                  <c:pt idx="4">
                    <c:v>Valparaiso</c:v>
                  </c:pt>
                  <c:pt idx="5">
                    <c:v>Puerto Montt</c:v>
                  </c:pt>
                  <c:pt idx="6">
                    <c:v>Castro</c:v>
                  </c:pt>
                  <c:pt idx="7">
                    <c:v>Chacabuco</c:v>
                  </c:pt>
                  <c:pt idx="8">
                    <c:v>Punta Arenas</c:v>
                  </c:pt>
                  <c:pt idx="9">
                    <c:v>Puerto Natales</c:v>
                  </c:pt>
                </c:lvl>
              </c:multiLvlStrCache>
            </c:multiLvlStrRef>
          </c:cat>
          <c:val>
            <c:numRef>
              <c:f>Hoja2!$E$104:$E$113</c:f>
              <c:numCache>
                <c:formatCode>#,##0</c:formatCode>
                <c:ptCount val="10"/>
                <c:pt idx="0">
                  <c:v>5618</c:v>
                </c:pt>
                <c:pt idx="1">
                  <c:v>1500</c:v>
                </c:pt>
                <c:pt idx="2">
                  <c:v>0</c:v>
                </c:pt>
                <c:pt idx="3">
                  <c:v>22716</c:v>
                </c:pt>
                <c:pt idx="4">
                  <c:v>66341</c:v>
                </c:pt>
                <c:pt idx="5">
                  <c:v>52642</c:v>
                </c:pt>
                <c:pt idx="6">
                  <c:v>3878</c:v>
                </c:pt>
                <c:pt idx="7">
                  <c:v>20228</c:v>
                </c:pt>
                <c:pt idx="8">
                  <c:v>42807</c:v>
                </c:pt>
                <c:pt idx="9">
                  <c:v>810</c:v>
                </c:pt>
              </c:numCache>
            </c:numRef>
          </c:val>
        </c:ser>
        <c:dLbls>
          <c:showLegendKey val="0"/>
          <c:showVal val="1"/>
          <c:showCatName val="0"/>
          <c:showSerName val="0"/>
          <c:showPercent val="0"/>
          <c:showBubbleSize val="0"/>
        </c:dLbls>
        <c:gapWidth val="150"/>
        <c:overlap val="-25"/>
        <c:axId val="255469600"/>
        <c:axId val="255469992"/>
      </c:barChart>
      <c:catAx>
        <c:axId val="25546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255469992"/>
        <c:crosses val="autoZero"/>
        <c:auto val="1"/>
        <c:lblAlgn val="ctr"/>
        <c:lblOffset val="100"/>
        <c:noMultiLvlLbl val="0"/>
      </c:catAx>
      <c:valAx>
        <c:axId val="255469992"/>
        <c:scaling>
          <c:orientation val="minMax"/>
        </c:scaling>
        <c:delete val="1"/>
        <c:axPos val="l"/>
        <c:numFmt formatCode="#,##0" sourceLinked="1"/>
        <c:majorTickMark val="out"/>
        <c:minorTickMark val="none"/>
        <c:tickLblPos val="nextTo"/>
        <c:crossAx val="2554696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a:t>Tripulación (CREW)</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tx>
            <c:strRef>
              <c:f>Hoja2!$D$137</c:f>
              <c:strCache>
                <c:ptCount val="1"/>
                <c:pt idx="0">
                  <c:v>2015/2016</c:v>
                </c:pt>
              </c:strCache>
            </c:strRef>
          </c:tx>
          <c:spPr>
            <a:solidFill>
              <a:schemeClr val="accent2">
                <a:shade val="76000"/>
              </a:schemeClr>
            </a:solidFill>
            <a:ln>
              <a:noFill/>
            </a:ln>
            <a:effectLst/>
          </c:spPr>
          <c:invertIfNegative val="0"/>
          <c:dLbls>
            <c:dLbl>
              <c:idx val="0"/>
              <c:layout>
                <c:manualLayout>
                  <c:x val="-6.41025641025641E-3"/>
                  <c:y val="1.013941698352344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41025641025641E-3"/>
                  <c:y val="-9.2943581990107929E-1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4102564102564491E-3"/>
                  <c:y val="1.013941698352335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5470085470085479E-3"/>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0683760683760762E-2"/>
                  <c:y val="1.5209125475285124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6.410256410256489E-3"/>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6.410256410256489E-3"/>
                  <c:y val="5.0697084917617234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8.5470085470085479E-3"/>
                  <c:y val="0"/>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4.2735042735044301E-3"/>
                  <c:y val="1.520912547528507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Hoja2!$B$138:$C$148</c:f>
              <c:multiLvlStrCache>
                <c:ptCount val="11"/>
                <c:lvl>
                  <c:pt idx="0">
                    <c:v>106%</c:v>
                  </c:pt>
                  <c:pt idx="1">
                    <c:v>165%</c:v>
                  </c:pt>
                  <c:pt idx="2">
                    <c:v>-</c:v>
                  </c:pt>
                  <c:pt idx="3">
                    <c:v>-31%</c:v>
                  </c:pt>
                  <c:pt idx="4">
                    <c:v>23%</c:v>
                  </c:pt>
                  <c:pt idx="5">
                    <c:v>23%</c:v>
                  </c:pt>
                  <c:pt idx="6">
                    <c:v>86%</c:v>
                  </c:pt>
                  <c:pt idx="7">
                    <c:v>110%</c:v>
                  </c:pt>
                  <c:pt idx="8">
                    <c:v>57%</c:v>
                  </c:pt>
                  <c:pt idx="9">
                    <c:v>-31%</c:v>
                  </c:pt>
                  <c:pt idx="10">
                    <c:v>41%</c:v>
                  </c:pt>
                </c:lvl>
                <c:lvl>
                  <c:pt idx="0">
                    <c:v>Arica</c:v>
                  </c:pt>
                  <c:pt idx="1">
                    <c:v>Iquique</c:v>
                  </c:pt>
                  <c:pt idx="2">
                    <c:v>Antofagasta</c:v>
                  </c:pt>
                  <c:pt idx="3">
                    <c:v>Coquimbo</c:v>
                  </c:pt>
                  <c:pt idx="4">
                    <c:v>Valparaiso</c:v>
                  </c:pt>
                  <c:pt idx="5">
                    <c:v>Puerto Montt</c:v>
                  </c:pt>
                  <c:pt idx="6">
                    <c:v>Castro</c:v>
                  </c:pt>
                  <c:pt idx="7">
                    <c:v>Chacabuco</c:v>
                  </c:pt>
                  <c:pt idx="8">
                    <c:v>Punta Arenas</c:v>
                  </c:pt>
                  <c:pt idx="9">
                    <c:v>Puerto Natales</c:v>
                  </c:pt>
                  <c:pt idx="10">
                    <c:v>Total general</c:v>
                  </c:pt>
                </c:lvl>
              </c:multiLvlStrCache>
            </c:multiLvlStrRef>
          </c:cat>
          <c:val>
            <c:numRef>
              <c:f>Hoja2!$D$138:$D$147</c:f>
              <c:numCache>
                <c:formatCode>#,##0</c:formatCode>
                <c:ptCount val="10"/>
                <c:pt idx="0">
                  <c:v>6105</c:v>
                </c:pt>
                <c:pt idx="1">
                  <c:v>1695</c:v>
                </c:pt>
                <c:pt idx="2">
                  <c:v>606</c:v>
                </c:pt>
                <c:pt idx="3">
                  <c:v>5641</c:v>
                </c:pt>
                <c:pt idx="4">
                  <c:v>25911</c:v>
                </c:pt>
                <c:pt idx="5">
                  <c:v>30486</c:v>
                </c:pt>
                <c:pt idx="6">
                  <c:v>4224</c:v>
                </c:pt>
                <c:pt idx="7">
                  <c:v>19175</c:v>
                </c:pt>
                <c:pt idx="8">
                  <c:v>36135</c:v>
                </c:pt>
                <c:pt idx="9">
                  <c:v>521</c:v>
                </c:pt>
              </c:numCache>
            </c:numRef>
          </c:val>
        </c:ser>
        <c:ser>
          <c:idx val="1"/>
          <c:order val="1"/>
          <c:tx>
            <c:strRef>
              <c:f>Hoja2!$E$137</c:f>
              <c:strCache>
                <c:ptCount val="1"/>
                <c:pt idx="0">
                  <c:v>2014/2015</c:v>
                </c:pt>
              </c:strCache>
            </c:strRef>
          </c:tx>
          <c:spPr>
            <a:solidFill>
              <a:schemeClr val="accent2">
                <a:tint val="77000"/>
              </a:schemeClr>
            </a:solidFill>
            <a:ln>
              <a:noFill/>
            </a:ln>
            <a:effectLst/>
          </c:spPr>
          <c:invertIfNegative val="0"/>
          <c:dLbls>
            <c:dLbl>
              <c:idx val="0"/>
              <c:layout>
                <c:manualLayout>
                  <c:x val="8.5470085470085375E-3"/>
                  <c:y val="1.520912547528517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410256410256391E-3"/>
                  <c:y val="1.013941698352344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41025641025641E-3"/>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282051282051282E-2"/>
                  <c:y val="5.0697084917617234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282051282051282E-2"/>
                  <c:y val="1.0139416983523494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6.410256410256332E-3"/>
                  <c:y val="5.0697084917617234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282051282051282E-2"/>
                  <c:y val="5.0697084917617234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282051282051282E-2"/>
                  <c:y val="-4.6471790995053965E-17"/>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6.41025641025641E-3"/>
                  <c:y val="-9.2943581990107929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Hoja2!$B$138:$C$148</c:f>
              <c:multiLvlStrCache>
                <c:ptCount val="11"/>
                <c:lvl>
                  <c:pt idx="0">
                    <c:v>106%</c:v>
                  </c:pt>
                  <c:pt idx="1">
                    <c:v>165%</c:v>
                  </c:pt>
                  <c:pt idx="2">
                    <c:v>-</c:v>
                  </c:pt>
                  <c:pt idx="3">
                    <c:v>-31%</c:v>
                  </c:pt>
                  <c:pt idx="4">
                    <c:v>23%</c:v>
                  </c:pt>
                  <c:pt idx="5">
                    <c:v>23%</c:v>
                  </c:pt>
                  <c:pt idx="6">
                    <c:v>86%</c:v>
                  </c:pt>
                  <c:pt idx="7">
                    <c:v>110%</c:v>
                  </c:pt>
                  <c:pt idx="8">
                    <c:v>57%</c:v>
                  </c:pt>
                  <c:pt idx="9">
                    <c:v>-31%</c:v>
                  </c:pt>
                  <c:pt idx="10">
                    <c:v>41%</c:v>
                  </c:pt>
                </c:lvl>
                <c:lvl>
                  <c:pt idx="0">
                    <c:v>Arica</c:v>
                  </c:pt>
                  <c:pt idx="1">
                    <c:v>Iquique</c:v>
                  </c:pt>
                  <c:pt idx="2">
                    <c:v>Antofagasta</c:v>
                  </c:pt>
                  <c:pt idx="3">
                    <c:v>Coquimbo</c:v>
                  </c:pt>
                  <c:pt idx="4">
                    <c:v>Valparaiso</c:v>
                  </c:pt>
                  <c:pt idx="5">
                    <c:v>Puerto Montt</c:v>
                  </c:pt>
                  <c:pt idx="6">
                    <c:v>Castro</c:v>
                  </c:pt>
                  <c:pt idx="7">
                    <c:v>Chacabuco</c:v>
                  </c:pt>
                  <c:pt idx="8">
                    <c:v>Punta Arenas</c:v>
                  </c:pt>
                  <c:pt idx="9">
                    <c:v>Puerto Natales</c:v>
                  </c:pt>
                  <c:pt idx="10">
                    <c:v>Total general</c:v>
                  </c:pt>
                </c:lvl>
              </c:multiLvlStrCache>
            </c:multiLvlStrRef>
          </c:cat>
          <c:val>
            <c:numRef>
              <c:f>Hoja2!$E$138:$E$147</c:f>
              <c:numCache>
                <c:formatCode>#,##0</c:formatCode>
                <c:ptCount val="10"/>
                <c:pt idx="0">
                  <c:v>2970</c:v>
                </c:pt>
                <c:pt idx="1">
                  <c:v>640</c:v>
                </c:pt>
                <c:pt idx="2">
                  <c:v>0</c:v>
                </c:pt>
                <c:pt idx="3">
                  <c:v>8203</c:v>
                </c:pt>
                <c:pt idx="4">
                  <c:v>21054</c:v>
                </c:pt>
                <c:pt idx="5">
                  <c:v>24752</c:v>
                </c:pt>
                <c:pt idx="6">
                  <c:v>2268</c:v>
                </c:pt>
                <c:pt idx="7">
                  <c:v>9123</c:v>
                </c:pt>
                <c:pt idx="8">
                  <c:v>23001</c:v>
                </c:pt>
                <c:pt idx="9">
                  <c:v>756</c:v>
                </c:pt>
              </c:numCache>
            </c:numRef>
          </c:val>
        </c:ser>
        <c:dLbls>
          <c:showLegendKey val="0"/>
          <c:showVal val="1"/>
          <c:showCatName val="0"/>
          <c:showSerName val="0"/>
          <c:showPercent val="0"/>
          <c:showBubbleSize val="0"/>
        </c:dLbls>
        <c:gapWidth val="150"/>
        <c:overlap val="-25"/>
        <c:axId val="255470776"/>
        <c:axId val="255471168"/>
      </c:barChart>
      <c:catAx>
        <c:axId val="255470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255471168"/>
        <c:crosses val="autoZero"/>
        <c:auto val="1"/>
        <c:lblAlgn val="ctr"/>
        <c:lblOffset val="100"/>
        <c:noMultiLvlLbl val="0"/>
      </c:catAx>
      <c:valAx>
        <c:axId val="255471168"/>
        <c:scaling>
          <c:orientation val="minMax"/>
        </c:scaling>
        <c:delete val="1"/>
        <c:axPos val="l"/>
        <c:numFmt formatCode="#,##0" sourceLinked="1"/>
        <c:majorTickMark val="none"/>
        <c:minorTickMark val="none"/>
        <c:tickLblPos val="nextTo"/>
        <c:crossAx val="2554707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CL"/>
              <a:t>Evolución de recaladas 2006/2007 - 2015/2016</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L"/>
        </a:p>
      </c:txPr>
    </c:title>
    <c:autoTitleDeleted val="0"/>
    <c:plotArea>
      <c:layout>
        <c:manualLayout>
          <c:layoutTarget val="inner"/>
          <c:xMode val="edge"/>
          <c:yMode val="edge"/>
          <c:x val="4.5525200256475044E-2"/>
          <c:y val="0.17339403598155292"/>
          <c:w val="0.93692161340043167"/>
          <c:h val="0.75614806828976178"/>
        </c:manualLayout>
      </c:layout>
      <c:barChart>
        <c:barDir val="col"/>
        <c:grouping val="clustered"/>
        <c:varyColors val="0"/>
        <c:ser>
          <c:idx val="1"/>
          <c:order val="1"/>
          <c:spPr>
            <a:gradFill rotWithShape="1">
              <a:gsLst>
                <a:gs pos="0">
                  <a:schemeClr val="accent5">
                    <a:tint val="77000"/>
                    <a:shade val="51000"/>
                    <a:satMod val="130000"/>
                  </a:schemeClr>
                </a:gs>
                <a:gs pos="80000">
                  <a:schemeClr val="accent5">
                    <a:tint val="77000"/>
                    <a:shade val="93000"/>
                    <a:satMod val="130000"/>
                  </a:schemeClr>
                </a:gs>
                <a:gs pos="100000">
                  <a:schemeClr val="accent5">
                    <a:tint val="77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Hoja2!$B$209:$B$218</c:f>
              <c:strCache>
                <c:ptCount val="10"/>
                <c:pt idx="0">
                  <c:v>2006/2007</c:v>
                </c:pt>
                <c:pt idx="1">
                  <c:v>2007/2008</c:v>
                </c:pt>
                <c:pt idx="2">
                  <c:v>2008/2009</c:v>
                </c:pt>
                <c:pt idx="3">
                  <c:v>2009/2010</c:v>
                </c:pt>
                <c:pt idx="4">
                  <c:v>2010/2011</c:v>
                </c:pt>
                <c:pt idx="5">
                  <c:v>2011/2012</c:v>
                </c:pt>
                <c:pt idx="6">
                  <c:v>2012/2013</c:v>
                </c:pt>
                <c:pt idx="7">
                  <c:v>2013/2014</c:v>
                </c:pt>
                <c:pt idx="8">
                  <c:v>2014/2015</c:v>
                </c:pt>
                <c:pt idx="9">
                  <c:v>2015/2016</c:v>
                </c:pt>
              </c:strCache>
            </c:strRef>
          </c:cat>
          <c:val>
            <c:numRef>
              <c:f>Hoja2!$D$209:$D$218</c:f>
              <c:numCache>
                <c:formatCode>0.0%</c:formatCode>
                <c:ptCount val="10"/>
                <c:pt idx="0">
                  <c:v>-0.20253164556962022</c:v>
                </c:pt>
                <c:pt idx="1">
                  <c:v>8.3333333333333259E-2</c:v>
                </c:pt>
                <c:pt idx="2">
                  <c:v>-0.13553113553113549</c:v>
                </c:pt>
                <c:pt idx="3">
                  <c:v>-0.17796610169491522</c:v>
                </c:pt>
                <c:pt idx="4">
                  <c:v>-0.27835051546391754</c:v>
                </c:pt>
                <c:pt idx="5">
                  <c:v>0.31428571428571428</c:v>
                </c:pt>
                <c:pt idx="6">
                  <c:v>0.15760869565217384</c:v>
                </c:pt>
                <c:pt idx="7">
                  <c:v>-8.9201877934272256E-2</c:v>
                </c:pt>
                <c:pt idx="8">
                  <c:v>-0.17010309278350511</c:v>
                </c:pt>
                <c:pt idx="9">
                  <c:v>0.46583850931677029</c:v>
                </c:pt>
              </c:numCache>
            </c:numRef>
          </c:val>
        </c:ser>
        <c:dLbls>
          <c:showLegendKey val="0"/>
          <c:showVal val="0"/>
          <c:showCatName val="0"/>
          <c:showSerName val="0"/>
          <c:showPercent val="0"/>
          <c:showBubbleSize val="0"/>
        </c:dLbls>
        <c:gapWidth val="171"/>
        <c:axId val="255473128"/>
        <c:axId val="255472736"/>
      </c:barChart>
      <c:lineChart>
        <c:grouping val="stacked"/>
        <c:varyColors val="0"/>
        <c:ser>
          <c:idx val="0"/>
          <c:order val="0"/>
          <c:spPr>
            <a:ln w="31750" cap="rnd">
              <a:solidFill>
                <a:schemeClr val="accent1">
                  <a:alpha val="40000"/>
                </a:schemeClr>
              </a:solidFill>
              <a:round/>
            </a:ln>
            <a:effectLst>
              <a:outerShdw blurRad="40000" dist="23000" dir="5400000" rotWithShape="0">
                <a:srgbClr val="000000">
                  <a:alpha val="35000"/>
                </a:srgbClr>
              </a:outerShdw>
            </a:effectLst>
          </c:spPr>
          <c:marker>
            <c:symbol val="circle"/>
            <c:size val="7"/>
            <c:spPr>
              <a:gradFill rotWithShape="1">
                <a:gsLst>
                  <a:gs pos="0">
                    <a:schemeClr val="accent5">
                      <a:shade val="76000"/>
                      <a:shade val="51000"/>
                      <a:satMod val="130000"/>
                    </a:schemeClr>
                  </a:gs>
                  <a:gs pos="80000">
                    <a:schemeClr val="accent5">
                      <a:shade val="76000"/>
                      <a:shade val="93000"/>
                      <a:satMod val="130000"/>
                    </a:schemeClr>
                  </a:gs>
                  <a:gs pos="100000">
                    <a:schemeClr val="accent5">
                      <a:shade val="76000"/>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Hoja2!$B$209:$B$218</c:f>
              <c:strCache>
                <c:ptCount val="10"/>
                <c:pt idx="0">
                  <c:v>2006/2007</c:v>
                </c:pt>
                <c:pt idx="1">
                  <c:v>2007/2008</c:v>
                </c:pt>
                <c:pt idx="2">
                  <c:v>2008/2009</c:v>
                </c:pt>
                <c:pt idx="3">
                  <c:v>2009/2010</c:v>
                </c:pt>
                <c:pt idx="4">
                  <c:v>2010/2011</c:v>
                </c:pt>
                <c:pt idx="5">
                  <c:v>2011/2012</c:v>
                </c:pt>
                <c:pt idx="6">
                  <c:v>2012/2013</c:v>
                </c:pt>
                <c:pt idx="7">
                  <c:v>2013/2014</c:v>
                </c:pt>
                <c:pt idx="8">
                  <c:v>2014/2015</c:v>
                </c:pt>
                <c:pt idx="9">
                  <c:v>2015/2016</c:v>
                </c:pt>
              </c:strCache>
            </c:strRef>
          </c:cat>
          <c:val>
            <c:numRef>
              <c:f>Hoja2!$C$209:$C$218</c:f>
              <c:numCache>
                <c:formatCode>General</c:formatCode>
                <c:ptCount val="10"/>
                <c:pt idx="0">
                  <c:v>252</c:v>
                </c:pt>
                <c:pt idx="1">
                  <c:v>273</c:v>
                </c:pt>
                <c:pt idx="2">
                  <c:v>236</c:v>
                </c:pt>
                <c:pt idx="3">
                  <c:v>194</c:v>
                </c:pt>
                <c:pt idx="4">
                  <c:v>140</c:v>
                </c:pt>
                <c:pt idx="5">
                  <c:v>184</c:v>
                </c:pt>
                <c:pt idx="6">
                  <c:v>213</c:v>
                </c:pt>
                <c:pt idx="7">
                  <c:v>194</c:v>
                </c:pt>
                <c:pt idx="8">
                  <c:v>161</c:v>
                </c:pt>
                <c:pt idx="9">
                  <c:v>236</c:v>
                </c:pt>
              </c:numCache>
            </c:numRef>
          </c:val>
          <c:smooth val="0"/>
        </c:ser>
        <c:dLbls>
          <c:showLegendKey val="0"/>
          <c:showVal val="0"/>
          <c:showCatName val="0"/>
          <c:showSerName val="0"/>
          <c:showPercent val="0"/>
          <c:showBubbleSize val="0"/>
        </c:dLbls>
        <c:marker val="1"/>
        <c:smooth val="0"/>
        <c:axId val="255471952"/>
        <c:axId val="255472344"/>
      </c:lineChart>
      <c:catAx>
        <c:axId val="2554719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L"/>
          </a:p>
        </c:txPr>
        <c:crossAx val="255472344"/>
        <c:crosses val="autoZero"/>
        <c:auto val="1"/>
        <c:lblAlgn val="ctr"/>
        <c:lblOffset val="100"/>
        <c:noMultiLvlLbl val="0"/>
      </c:catAx>
      <c:valAx>
        <c:axId val="255472344"/>
        <c:scaling>
          <c:orientation val="minMax"/>
          <c:max val="400"/>
        </c:scaling>
        <c:delete val="0"/>
        <c:axPos val="l"/>
        <c:numFmt formatCode="General" sourceLinked="1"/>
        <c:majorTickMark val="none"/>
        <c:minorTickMark val="none"/>
        <c:tickLblPos val="none"/>
        <c:spPr>
          <a:solidFill>
            <a:sysClr val="window" lastClr="FFFFFF"/>
          </a:solid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L"/>
          </a:p>
        </c:txPr>
        <c:crossAx val="255471952"/>
        <c:crosses val="autoZero"/>
        <c:crossBetween val="between"/>
      </c:valAx>
      <c:valAx>
        <c:axId val="255472736"/>
        <c:scaling>
          <c:orientation val="minMax"/>
          <c:max val="0.5"/>
          <c:min val="-4"/>
        </c:scaling>
        <c:delete val="0"/>
        <c:axPos val="r"/>
        <c:numFmt formatCode="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L"/>
          </a:p>
        </c:txPr>
        <c:crossAx val="255473128"/>
        <c:crosses val="max"/>
        <c:crossBetween val="between"/>
      </c:valAx>
      <c:catAx>
        <c:axId val="255473128"/>
        <c:scaling>
          <c:orientation val="minMax"/>
        </c:scaling>
        <c:delete val="1"/>
        <c:axPos val="b"/>
        <c:numFmt formatCode="General" sourceLinked="1"/>
        <c:majorTickMark val="none"/>
        <c:minorTickMark val="none"/>
        <c:tickLblPos val="nextTo"/>
        <c:crossAx val="25547273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CL"/>
              <a:t>Evolución pasajeros 2006/2007 - 2015/2016</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L"/>
        </a:p>
      </c:txPr>
    </c:title>
    <c:autoTitleDeleted val="0"/>
    <c:plotArea>
      <c:layout>
        <c:manualLayout>
          <c:layoutTarget val="inner"/>
          <c:xMode val="edge"/>
          <c:yMode val="edge"/>
          <c:x val="4.5525200256475044E-2"/>
          <c:y val="0.17339403598155292"/>
          <c:w val="0.93692161340043167"/>
          <c:h val="0.75614806828976178"/>
        </c:manualLayout>
      </c:layout>
      <c:barChart>
        <c:barDir val="col"/>
        <c:grouping val="clustered"/>
        <c:varyColors val="0"/>
        <c:ser>
          <c:idx val="1"/>
          <c:order val="1"/>
          <c:spPr>
            <a:gradFill rotWithShape="1">
              <a:gsLst>
                <a:gs pos="0">
                  <a:schemeClr val="accent5">
                    <a:tint val="77000"/>
                    <a:shade val="51000"/>
                    <a:satMod val="130000"/>
                  </a:schemeClr>
                </a:gs>
                <a:gs pos="80000">
                  <a:schemeClr val="accent5">
                    <a:tint val="77000"/>
                    <a:shade val="93000"/>
                    <a:satMod val="130000"/>
                  </a:schemeClr>
                </a:gs>
                <a:gs pos="100000">
                  <a:schemeClr val="accent5">
                    <a:tint val="77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Hoja2!$B$247:$B$256</c:f>
              <c:strCache>
                <c:ptCount val="10"/>
                <c:pt idx="0">
                  <c:v>2006/2007</c:v>
                </c:pt>
                <c:pt idx="1">
                  <c:v>2007/2008</c:v>
                </c:pt>
                <c:pt idx="2">
                  <c:v>2008/2009</c:v>
                </c:pt>
                <c:pt idx="3">
                  <c:v>2009/2010</c:v>
                </c:pt>
                <c:pt idx="4">
                  <c:v>2010/2011</c:v>
                </c:pt>
                <c:pt idx="5">
                  <c:v>2011/2012</c:v>
                </c:pt>
                <c:pt idx="6">
                  <c:v>2012/2013</c:v>
                </c:pt>
                <c:pt idx="7">
                  <c:v>2013/2014</c:v>
                </c:pt>
                <c:pt idx="8">
                  <c:v>2014/2015</c:v>
                </c:pt>
                <c:pt idx="9">
                  <c:v>2015/2016</c:v>
                </c:pt>
              </c:strCache>
            </c:strRef>
          </c:cat>
          <c:val>
            <c:numRef>
              <c:f>Hoja2!$D$247:$D$256</c:f>
              <c:numCache>
                <c:formatCode>0.0%</c:formatCode>
                <c:ptCount val="10"/>
                <c:pt idx="0">
                  <c:v>-5.038728985124552E-2</c:v>
                </c:pt>
                <c:pt idx="1">
                  <c:v>0.40866937632953459</c:v>
                </c:pt>
                <c:pt idx="2">
                  <c:v>2.7507813785162094E-2</c:v>
                </c:pt>
                <c:pt idx="3">
                  <c:v>-0.26164304171162722</c:v>
                </c:pt>
                <c:pt idx="4">
                  <c:v>-0.34319180214833667</c:v>
                </c:pt>
                <c:pt idx="5">
                  <c:v>0.21287089490155697</c:v>
                </c:pt>
                <c:pt idx="6">
                  <c:v>0.25861327497700048</c:v>
                </c:pt>
                <c:pt idx="7">
                  <c:v>-5.8506267138396018E-2</c:v>
                </c:pt>
                <c:pt idx="8">
                  <c:v>-5.2324753421322256E-3</c:v>
                </c:pt>
                <c:pt idx="9">
                  <c:v>0.45214740925464114</c:v>
                </c:pt>
              </c:numCache>
            </c:numRef>
          </c:val>
        </c:ser>
        <c:dLbls>
          <c:showLegendKey val="0"/>
          <c:showVal val="0"/>
          <c:showCatName val="0"/>
          <c:showSerName val="0"/>
          <c:showPercent val="0"/>
          <c:showBubbleSize val="0"/>
        </c:dLbls>
        <c:gapWidth val="171"/>
        <c:axId val="255475088"/>
        <c:axId val="255474696"/>
      </c:barChart>
      <c:lineChart>
        <c:grouping val="stacked"/>
        <c:varyColors val="0"/>
        <c:ser>
          <c:idx val="0"/>
          <c:order val="0"/>
          <c:spPr>
            <a:ln w="31750" cap="rnd">
              <a:solidFill>
                <a:schemeClr val="accent1">
                  <a:alpha val="40000"/>
                </a:schemeClr>
              </a:solidFill>
              <a:round/>
            </a:ln>
            <a:effectLst>
              <a:outerShdw blurRad="40000" dist="23000" dir="5400000" rotWithShape="0">
                <a:srgbClr val="000000">
                  <a:alpha val="35000"/>
                </a:srgbClr>
              </a:outerShdw>
            </a:effectLst>
          </c:spPr>
          <c:marker>
            <c:symbol val="circle"/>
            <c:size val="7"/>
            <c:spPr>
              <a:gradFill rotWithShape="1">
                <a:gsLst>
                  <a:gs pos="0">
                    <a:schemeClr val="accent5">
                      <a:shade val="76000"/>
                      <a:shade val="51000"/>
                      <a:satMod val="130000"/>
                    </a:schemeClr>
                  </a:gs>
                  <a:gs pos="80000">
                    <a:schemeClr val="accent5">
                      <a:shade val="76000"/>
                      <a:shade val="93000"/>
                      <a:satMod val="130000"/>
                    </a:schemeClr>
                  </a:gs>
                  <a:gs pos="100000">
                    <a:schemeClr val="accent5">
                      <a:shade val="76000"/>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Hoja2!$B$247:$B$256</c:f>
              <c:strCache>
                <c:ptCount val="10"/>
                <c:pt idx="0">
                  <c:v>2006/2007</c:v>
                </c:pt>
                <c:pt idx="1">
                  <c:v>2007/2008</c:v>
                </c:pt>
                <c:pt idx="2">
                  <c:v>2008/2009</c:v>
                </c:pt>
                <c:pt idx="3">
                  <c:v>2009/2010</c:v>
                </c:pt>
                <c:pt idx="4">
                  <c:v>2010/2011</c:v>
                </c:pt>
                <c:pt idx="5">
                  <c:v>2011/2012</c:v>
                </c:pt>
                <c:pt idx="6">
                  <c:v>2012/2013</c:v>
                </c:pt>
                <c:pt idx="7">
                  <c:v>2013/2014</c:v>
                </c:pt>
                <c:pt idx="8">
                  <c:v>2014/2015</c:v>
                </c:pt>
                <c:pt idx="9">
                  <c:v>2015/2016</c:v>
                </c:pt>
              </c:strCache>
            </c:strRef>
          </c:cat>
          <c:val>
            <c:numRef>
              <c:f>Hoja2!$C$247:$C$256</c:f>
              <c:numCache>
                <c:formatCode>#,##0</c:formatCode>
                <c:ptCount val="10"/>
                <c:pt idx="0">
                  <c:v>215771</c:v>
                </c:pt>
                <c:pt idx="1">
                  <c:v>303950</c:v>
                </c:pt>
                <c:pt idx="2">
                  <c:v>312311</c:v>
                </c:pt>
                <c:pt idx="3">
                  <c:v>230597</c:v>
                </c:pt>
                <c:pt idx="4">
                  <c:v>151458</c:v>
                </c:pt>
                <c:pt idx="5">
                  <c:v>183699</c:v>
                </c:pt>
                <c:pt idx="6">
                  <c:v>231206</c:v>
                </c:pt>
                <c:pt idx="7">
                  <c:v>217679</c:v>
                </c:pt>
                <c:pt idx="8">
                  <c:v>216540</c:v>
                </c:pt>
                <c:pt idx="9">
                  <c:v>314448</c:v>
                </c:pt>
              </c:numCache>
            </c:numRef>
          </c:val>
          <c:smooth val="0"/>
        </c:ser>
        <c:dLbls>
          <c:showLegendKey val="0"/>
          <c:showVal val="0"/>
          <c:showCatName val="0"/>
          <c:showSerName val="0"/>
          <c:showPercent val="0"/>
          <c:showBubbleSize val="0"/>
        </c:dLbls>
        <c:marker val="1"/>
        <c:smooth val="0"/>
        <c:axId val="255473912"/>
        <c:axId val="255474304"/>
      </c:lineChart>
      <c:catAx>
        <c:axId val="2554739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L"/>
          </a:p>
        </c:txPr>
        <c:crossAx val="255474304"/>
        <c:crosses val="autoZero"/>
        <c:auto val="1"/>
        <c:lblAlgn val="ctr"/>
        <c:lblOffset val="100"/>
        <c:noMultiLvlLbl val="0"/>
      </c:catAx>
      <c:valAx>
        <c:axId val="255474304"/>
        <c:scaling>
          <c:orientation val="minMax"/>
          <c:max val="500000"/>
        </c:scaling>
        <c:delete val="0"/>
        <c:axPos val="l"/>
        <c:numFmt formatCode="#,##0" sourceLinked="1"/>
        <c:majorTickMark val="none"/>
        <c:minorTickMark val="none"/>
        <c:tickLblPos val="none"/>
        <c:spPr>
          <a:solidFill>
            <a:sysClr val="window" lastClr="FFFFFF"/>
          </a:solid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L"/>
          </a:p>
        </c:txPr>
        <c:crossAx val="255473912"/>
        <c:crosses val="autoZero"/>
        <c:crossBetween val="between"/>
      </c:valAx>
      <c:valAx>
        <c:axId val="255474696"/>
        <c:scaling>
          <c:orientation val="minMax"/>
          <c:max val="0.5"/>
          <c:min val="-4"/>
        </c:scaling>
        <c:delete val="0"/>
        <c:axPos val="r"/>
        <c:numFmt formatCode="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L"/>
          </a:p>
        </c:txPr>
        <c:crossAx val="255475088"/>
        <c:crosses val="max"/>
        <c:crossBetween val="between"/>
      </c:valAx>
      <c:catAx>
        <c:axId val="255475088"/>
        <c:scaling>
          <c:orientation val="minMax"/>
        </c:scaling>
        <c:delete val="1"/>
        <c:axPos val="b"/>
        <c:numFmt formatCode="General" sourceLinked="1"/>
        <c:majorTickMark val="none"/>
        <c:minorTickMark val="none"/>
        <c:tickLblPos val="nextTo"/>
        <c:crossAx val="25547469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CL"/>
              <a:t>Evolución pasajero</a:t>
            </a:r>
            <a:r>
              <a:rPr lang="es-CL" baseline="0"/>
              <a:t>s y recaladas 2006/2007 - 2015/2016</a:t>
            </a:r>
            <a:endParaRPr lang="es-CL"/>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L"/>
        </a:p>
      </c:txPr>
    </c:title>
    <c:autoTitleDeleted val="0"/>
    <c:plotArea>
      <c:layout/>
      <c:lineChart>
        <c:grouping val="standard"/>
        <c:varyColors val="0"/>
        <c:ser>
          <c:idx val="0"/>
          <c:order val="0"/>
          <c:tx>
            <c:strRef>
              <c:f>Hoja2!$C$284</c:f>
              <c:strCache>
                <c:ptCount val="1"/>
                <c:pt idx="0">
                  <c:v>Recaladas</c:v>
                </c:pt>
              </c:strCache>
            </c:strRef>
          </c:tx>
          <c:spPr>
            <a:ln w="31750" cap="rnd">
              <a:solidFill>
                <a:schemeClr val="accent6">
                  <a:lumMod val="60000"/>
                  <a:lumOff val="40000"/>
                </a:schemeClr>
              </a:solidFill>
              <a:round/>
            </a:ln>
            <a:effectLst>
              <a:outerShdw blurRad="40000" dist="23000" dir="5400000" rotWithShape="0">
                <a:srgbClr val="000000">
                  <a:alpha val="35000"/>
                </a:srgbClr>
              </a:outerShdw>
            </a:effectLst>
          </c:spPr>
          <c:marker>
            <c:symbol val="circle"/>
            <c:size val="6"/>
            <c:spPr>
              <a:solidFill>
                <a:schemeClr val="accent6"/>
              </a:solidFill>
              <a:ln w="12700">
                <a:solidFill>
                  <a:schemeClr val="accent6">
                    <a:lumMod val="60000"/>
                    <a:lumOff val="40000"/>
                  </a:schemeClr>
                </a:solidFill>
                <a:round/>
              </a:ln>
              <a:effectLst>
                <a:outerShdw blurRad="40000" dist="23000" dir="5400000" rotWithShape="0">
                  <a:srgbClr val="000000">
                    <a:alpha val="35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Hoja2!$B$285:$B$294</c:f>
              <c:strCache>
                <c:ptCount val="10"/>
                <c:pt idx="0">
                  <c:v>2006/2007</c:v>
                </c:pt>
                <c:pt idx="1">
                  <c:v>2007/2008</c:v>
                </c:pt>
                <c:pt idx="2">
                  <c:v>2008/2009</c:v>
                </c:pt>
                <c:pt idx="3">
                  <c:v>2009/2010</c:v>
                </c:pt>
                <c:pt idx="4">
                  <c:v>2010/2011</c:v>
                </c:pt>
                <c:pt idx="5">
                  <c:v>2011/2012</c:v>
                </c:pt>
                <c:pt idx="6">
                  <c:v>2012/2013</c:v>
                </c:pt>
                <c:pt idx="7">
                  <c:v>2013/2014</c:v>
                </c:pt>
                <c:pt idx="8">
                  <c:v>2014/2015</c:v>
                </c:pt>
                <c:pt idx="9">
                  <c:v>2015/2016</c:v>
                </c:pt>
              </c:strCache>
            </c:strRef>
          </c:cat>
          <c:val>
            <c:numRef>
              <c:f>Hoja2!$C$285:$C$294</c:f>
              <c:numCache>
                <c:formatCode>General</c:formatCode>
                <c:ptCount val="10"/>
                <c:pt idx="0">
                  <c:v>252</c:v>
                </c:pt>
                <c:pt idx="1">
                  <c:v>273</c:v>
                </c:pt>
                <c:pt idx="2">
                  <c:v>236</c:v>
                </c:pt>
                <c:pt idx="3">
                  <c:v>194</c:v>
                </c:pt>
                <c:pt idx="4">
                  <c:v>140</c:v>
                </c:pt>
                <c:pt idx="5">
                  <c:v>184</c:v>
                </c:pt>
                <c:pt idx="6">
                  <c:v>213</c:v>
                </c:pt>
                <c:pt idx="7">
                  <c:v>194</c:v>
                </c:pt>
                <c:pt idx="8">
                  <c:v>161</c:v>
                </c:pt>
                <c:pt idx="9">
                  <c:v>236</c:v>
                </c:pt>
              </c:numCache>
            </c:numRef>
          </c:val>
          <c:smooth val="0"/>
        </c:ser>
        <c:dLbls>
          <c:showLegendKey val="0"/>
          <c:showVal val="0"/>
          <c:showCatName val="0"/>
          <c:showSerName val="0"/>
          <c:showPercent val="0"/>
          <c:showBubbleSize val="0"/>
        </c:dLbls>
        <c:marker val="1"/>
        <c:smooth val="0"/>
        <c:axId val="255476264"/>
        <c:axId val="255475872"/>
      </c:lineChart>
      <c:lineChart>
        <c:grouping val="standard"/>
        <c:varyColors val="0"/>
        <c:ser>
          <c:idx val="1"/>
          <c:order val="1"/>
          <c:tx>
            <c:strRef>
              <c:f>Hoja2!$D$284</c:f>
              <c:strCache>
                <c:ptCount val="1"/>
                <c:pt idx="0">
                  <c:v>Pasajeros</c:v>
                </c:pt>
              </c:strCache>
            </c:strRef>
          </c:tx>
          <c:spPr>
            <a:ln w="31750" cap="rnd">
              <a:solidFill>
                <a:schemeClr val="accent5">
                  <a:lumMod val="60000"/>
                  <a:lumOff val="40000"/>
                </a:schemeClr>
              </a:solidFill>
              <a:round/>
            </a:ln>
            <a:effectLst>
              <a:outerShdw blurRad="40000" dist="23000" dir="5400000" rotWithShape="0">
                <a:srgbClr val="000000">
                  <a:alpha val="35000"/>
                </a:srgbClr>
              </a:outerShdw>
            </a:effectLst>
          </c:spPr>
          <c:marker>
            <c:symbol val="circle"/>
            <c:size val="6"/>
            <c:spPr>
              <a:solidFill>
                <a:schemeClr val="accent5"/>
              </a:solidFill>
              <a:ln w="12700">
                <a:solidFill>
                  <a:schemeClr val="accent5">
                    <a:lumMod val="60000"/>
                    <a:lumOff val="40000"/>
                  </a:schemeClr>
                </a:solidFill>
                <a:round/>
              </a:ln>
              <a:effectLst>
                <a:outerShdw blurRad="40000" dist="23000" dir="5400000" rotWithShape="0">
                  <a:srgbClr val="000000">
                    <a:alpha val="35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Hoja2!$B$285:$B$294</c:f>
              <c:strCache>
                <c:ptCount val="10"/>
                <c:pt idx="0">
                  <c:v>2006/2007</c:v>
                </c:pt>
                <c:pt idx="1">
                  <c:v>2007/2008</c:v>
                </c:pt>
                <c:pt idx="2">
                  <c:v>2008/2009</c:v>
                </c:pt>
                <c:pt idx="3">
                  <c:v>2009/2010</c:v>
                </c:pt>
                <c:pt idx="4">
                  <c:v>2010/2011</c:v>
                </c:pt>
                <c:pt idx="5">
                  <c:v>2011/2012</c:v>
                </c:pt>
                <c:pt idx="6">
                  <c:v>2012/2013</c:v>
                </c:pt>
                <c:pt idx="7">
                  <c:v>2013/2014</c:v>
                </c:pt>
                <c:pt idx="8">
                  <c:v>2014/2015</c:v>
                </c:pt>
                <c:pt idx="9">
                  <c:v>2015/2016</c:v>
                </c:pt>
              </c:strCache>
            </c:strRef>
          </c:cat>
          <c:val>
            <c:numRef>
              <c:f>Hoja2!$D$285:$D$294</c:f>
              <c:numCache>
                <c:formatCode>#,##0</c:formatCode>
                <c:ptCount val="10"/>
                <c:pt idx="0">
                  <c:v>215771</c:v>
                </c:pt>
                <c:pt idx="1">
                  <c:v>303950</c:v>
                </c:pt>
                <c:pt idx="2">
                  <c:v>312311</c:v>
                </c:pt>
                <c:pt idx="3">
                  <c:v>230597</c:v>
                </c:pt>
                <c:pt idx="4">
                  <c:v>151458</c:v>
                </c:pt>
                <c:pt idx="5">
                  <c:v>183699</c:v>
                </c:pt>
                <c:pt idx="6">
                  <c:v>231206</c:v>
                </c:pt>
                <c:pt idx="7">
                  <c:v>217679</c:v>
                </c:pt>
                <c:pt idx="8">
                  <c:v>216540</c:v>
                </c:pt>
                <c:pt idx="9">
                  <c:v>314448</c:v>
                </c:pt>
              </c:numCache>
            </c:numRef>
          </c:val>
          <c:smooth val="0"/>
        </c:ser>
        <c:dLbls>
          <c:showLegendKey val="0"/>
          <c:showVal val="0"/>
          <c:showCatName val="0"/>
          <c:showSerName val="0"/>
          <c:showPercent val="0"/>
          <c:showBubbleSize val="0"/>
        </c:dLbls>
        <c:marker val="1"/>
        <c:smooth val="0"/>
        <c:axId val="255477048"/>
        <c:axId val="255476656"/>
      </c:lineChart>
      <c:valAx>
        <c:axId val="255475872"/>
        <c:scaling>
          <c:orientation val="minMax"/>
          <c:max val="450"/>
        </c:scaling>
        <c:delete val="0"/>
        <c:axPos val="r"/>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L"/>
          </a:p>
        </c:txPr>
        <c:crossAx val="255476264"/>
        <c:crosses val="max"/>
        <c:crossBetween val="between"/>
      </c:valAx>
      <c:catAx>
        <c:axId val="2554762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L"/>
          </a:p>
        </c:txPr>
        <c:crossAx val="255475872"/>
        <c:crosses val="autoZero"/>
        <c:auto val="1"/>
        <c:lblAlgn val="ctr"/>
        <c:lblOffset val="100"/>
        <c:noMultiLvlLbl val="0"/>
      </c:catAx>
      <c:valAx>
        <c:axId val="25547665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L"/>
          </a:p>
        </c:txPr>
        <c:crossAx val="255477048"/>
        <c:crosses val="autoZero"/>
        <c:crossBetween val="between"/>
      </c:valAx>
      <c:catAx>
        <c:axId val="255477048"/>
        <c:scaling>
          <c:orientation val="minMax"/>
        </c:scaling>
        <c:delete val="1"/>
        <c:axPos val="b"/>
        <c:numFmt formatCode="General" sourceLinked="1"/>
        <c:majorTickMark val="none"/>
        <c:minorTickMark val="none"/>
        <c:tickLblPos val="nextTo"/>
        <c:crossAx val="2554766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L"/>
    </a:p>
  </c:txPr>
  <c:externalData r:id="rId4">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6.xml><?xml version="1.0" encoding="utf-8"?>
<cs:colorStyle xmlns:cs="http://schemas.microsoft.com/office/drawing/2012/chartStyle" xmlns:a="http://schemas.openxmlformats.org/drawingml/2006/main" meth="withinLinear" id="18">
  <a:schemeClr val="accent5"/>
</cs:colorStyle>
</file>

<file path=word/charts/colors7.xml><?xml version="1.0" encoding="utf-8"?>
<cs:colorStyle xmlns:cs="http://schemas.microsoft.com/office/drawing/2012/chartStyle" xmlns:a="http://schemas.openxmlformats.org/drawingml/2006/main" meth="withinLinear" id="18">
  <a:schemeClr val="accent5"/>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laska">
    <w:altName w:val="Verdana"/>
    <w:charset w:val="00"/>
    <w:family w:val="swiss"/>
    <w:pitch w:val="variable"/>
    <w:sig w:usb0="00000007" w:usb1="00000000" w:usb2="00000000" w:usb3="00000000" w:csb0="0000001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250"/>
    <w:rsid w:val="000C2579"/>
    <w:rsid w:val="00D0625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E560220B35A4FEABAE374CCB6D2438B">
    <w:name w:val="6E560220B35A4FEABAE374CCB6D2438B"/>
    <w:rsid w:val="00D06250"/>
  </w:style>
  <w:style w:type="paragraph" w:customStyle="1" w:styleId="058C531CA6C64A28B9D07A088F00259D">
    <w:name w:val="058C531CA6C64A28B9D07A088F00259D"/>
    <w:rsid w:val="00D062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83E9D-C0C7-4270-9DC1-43FDEAEA51C6}">
  <ds:schemaRefs>
    <ds:schemaRef ds:uri="http://schemas.microsoft.com/sharepoint/v3/contenttype/forms"/>
  </ds:schemaRefs>
</ds:datastoreItem>
</file>

<file path=customXml/itemProps2.xml><?xml version="1.0" encoding="utf-8"?>
<ds:datastoreItem xmlns:ds="http://schemas.openxmlformats.org/officeDocument/2006/customXml" ds:itemID="{0A84BA61-1D73-4F82-95BF-59D20FDD6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Espaciado simple</Template>
  <TotalTime>0</TotalTime>
  <Pages>9</Pages>
  <Words>1146</Words>
  <Characters>6303</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7435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2016-01-19T15:52:00Z</dcterms:created>
  <dcterms:modified xsi:type="dcterms:W3CDTF">2016-01-19T16:18:00Z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