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CC" w:rsidRPr="00C87DDB" w:rsidRDefault="00C87DDB" w:rsidP="00C87DDB">
      <w:pPr>
        <w:spacing w:after="0" w:line="240" w:lineRule="auto"/>
        <w:jc w:val="center"/>
        <w:rPr>
          <w:b/>
          <w:sz w:val="28"/>
          <w:szCs w:val="28"/>
        </w:rPr>
      </w:pPr>
      <w:r w:rsidRPr="00C87DDB">
        <w:rPr>
          <w:b/>
          <w:sz w:val="28"/>
          <w:szCs w:val="28"/>
        </w:rPr>
        <w:t>MINUTA</w:t>
      </w:r>
      <w:r>
        <w:rPr>
          <w:b/>
          <w:sz w:val="28"/>
          <w:szCs w:val="28"/>
        </w:rPr>
        <w:t xml:space="preserve"> </w:t>
      </w:r>
    </w:p>
    <w:p w:rsidR="00C87DDB" w:rsidRPr="00C87DDB" w:rsidRDefault="00241A6B" w:rsidP="00C87D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Cierre temporada estival</w:t>
      </w:r>
      <w:r w:rsidR="008B50BC">
        <w:rPr>
          <w:b/>
          <w:sz w:val="28"/>
          <w:szCs w:val="28"/>
        </w:rPr>
        <w:t xml:space="preserve">, </w:t>
      </w:r>
      <w:proofErr w:type="spellStart"/>
      <w:r w:rsidR="008B50BC">
        <w:rPr>
          <w:b/>
          <w:sz w:val="28"/>
          <w:szCs w:val="28"/>
        </w:rPr>
        <w:t>ocupabilidad</w:t>
      </w:r>
      <w:proofErr w:type="spellEnd"/>
      <w:r w:rsidR="008B50BC">
        <w:rPr>
          <w:b/>
          <w:sz w:val="28"/>
          <w:szCs w:val="28"/>
        </w:rPr>
        <w:t xml:space="preserve"> semana santa</w:t>
      </w:r>
      <w:r>
        <w:rPr>
          <w:b/>
          <w:sz w:val="28"/>
          <w:szCs w:val="28"/>
        </w:rPr>
        <w:t xml:space="preserve"> y proyecciones 2016</w:t>
      </w:r>
    </w:p>
    <w:p w:rsidR="00C87DDB" w:rsidRDefault="00C87DDB" w:rsidP="00C87DDB">
      <w:pPr>
        <w:jc w:val="center"/>
      </w:pPr>
    </w:p>
    <w:p w:rsidR="00C87DDB" w:rsidRPr="00905F59" w:rsidRDefault="00905F59" w:rsidP="00C87DDB">
      <w:pPr>
        <w:jc w:val="both"/>
        <w:rPr>
          <w:b/>
          <w:sz w:val="26"/>
          <w:szCs w:val="26"/>
        </w:rPr>
      </w:pPr>
      <w:r w:rsidRPr="00905F59">
        <w:rPr>
          <w:b/>
          <w:sz w:val="26"/>
          <w:szCs w:val="26"/>
        </w:rPr>
        <w:t>1.- Cierre temporada estival</w:t>
      </w:r>
    </w:p>
    <w:p w:rsidR="00DD42BE" w:rsidRDefault="00905F59" w:rsidP="00905F59">
      <w:pPr>
        <w:jc w:val="both"/>
        <w:rPr>
          <w:lang w:val="es-ES"/>
        </w:rPr>
      </w:pPr>
      <w:r>
        <w:rPr>
          <w:lang w:val="es-ES"/>
        </w:rPr>
        <w:t xml:space="preserve">La temporada estival 2015-2016 (diciembre a marzo) terminó con cifras históricas en términos de llegadas de turistas extranjeros al país. </w:t>
      </w:r>
      <w:r w:rsidR="00DD42BE">
        <w:rPr>
          <w:lang w:val="es-ES"/>
        </w:rPr>
        <w:t>El aumento en la llegada de turistas fue de un 3</w:t>
      </w:r>
      <w:r w:rsidR="0078493F">
        <w:rPr>
          <w:lang w:val="es-ES"/>
        </w:rPr>
        <w:t>3,4</w:t>
      </w:r>
      <w:r w:rsidR="00DD42BE">
        <w:rPr>
          <w:lang w:val="es-ES"/>
        </w:rPr>
        <w:t>% respecto al mismo período del año anterior, siguiendo la tendencia que se observó los últimos dos meses del 2015 con crecimiento</w:t>
      </w:r>
      <w:r w:rsidR="00A16269">
        <w:rPr>
          <w:lang w:val="es-ES"/>
        </w:rPr>
        <w:t>s</w:t>
      </w:r>
      <w:r w:rsidR="00DD42BE">
        <w:rPr>
          <w:lang w:val="es-ES"/>
        </w:rPr>
        <w:t xml:space="preserve"> cercanos al 30% cada mes.</w:t>
      </w:r>
    </w:p>
    <w:p w:rsidR="00905F59" w:rsidRDefault="00DD42BE" w:rsidP="00905F59">
      <w:pPr>
        <w:jc w:val="both"/>
        <w:rPr>
          <w:lang w:val="es-ES"/>
        </w:rPr>
      </w:pPr>
      <w:r>
        <w:rPr>
          <w:lang w:val="es-ES"/>
        </w:rPr>
        <w:t xml:space="preserve">Las llegadas totales registraron cerca de </w:t>
      </w:r>
      <w:r w:rsidRPr="0078493F">
        <w:rPr>
          <w:lang w:val="es-ES"/>
        </w:rPr>
        <w:t>2,4 millones (2.</w:t>
      </w:r>
      <w:r w:rsidR="0078493F" w:rsidRPr="0078493F">
        <w:rPr>
          <w:lang w:val="es-ES"/>
        </w:rPr>
        <w:t>404.</w:t>
      </w:r>
      <w:r w:rsidR="00951F41">
        <w:rPr>
          <w:lang w:val="es-ES"/>
        </w:rPr>
        <w:t>161</w:t>
      </w:r>
      <w:bookmarkStart w:id="0" w:name="_GoBack"/>
      <w:bookmarkEnd w:id="0"/>
      <w:r w:rsidRPr="0078493F">
        <w:rPr>
          <w:lang w:val="es-ES"/>
        </w:rPr>
        <w:t xml:space="preserve"> </w:t>
      </w:r>
      <w:r w:rsidR="0078493F" w:rsidRPr="0078493F">
        <w:rPr>
          <w:lang w:val="es-ES"/>
        </w:rPr>
        <w:t>cifras provisorias</w:t>
      </w:r>
      <w:r w:rsidRPr="0078493F">
        <w:rPr>
          <w:lang w:val="es-ES"/>
        </w:rPr>
        <w:t>)</w:t>
      </w:r>
      <w:r>
        <w:rPr>
          <w:lang w:val="es-ES"/>
        </w:rPr>
        <w:t xml:space="preserve"> de turistas ingresados al país, donde los turistas argentinos tienen una participación de un  56%, representando así América del Sur un 78,6% de los turistas que llegan a Chile. Los países europeos representan un 8,7% y los de América del Norte un 5,7%.</w:t>
      </w:r>
    </w:p>
    <w:p w:rsidR="00A16269" w:rsidRDefault="00A16269" w:rsidP="00905F59">
      <w:pPr>
        <w:jc w:val="both"/>
        <w:rPr>
          <w:lang w:val="es-ES"/>
        </w:rPr>
      </w:pPr>
      <w:r>
        <w:rPr>
          <w:lang w:val="es-ES"/>
        </w:rPr>
        <w:t>Haciendo un análisis de las llegadas por países para el período estival y las variaciones experimentadas respecto al mismo período del año anterior se puede destacar lo siguiente:</w:t>
      </w:r>
    </w:p>
    <w:p w:rsidR="007C06D9" w:rsidRPr="007C06D9" w:rsidRDefault="007C06D9" w:rsidP="007C06D9">
      <w:pPr>
        <w:pStyle w:val="Prrafodelista"/>
        <w:numPr>
          <w:ilvl w:val="0"/>
          <w:numId w:val="22"/>
        </w:numPr>
        <w:ind w:left="284" w:hanging="284"/>
        <w:jc w:val="both"/>
        <w:rPr>
          <w:b/>
          <w:lang w:val="es-ES"/>
        </w:rPr>
      </w:pPr>
      <w:r w:rsidRPr="007C06D9">
        <w:rPr>
          <w:b/>
          <w:lang w:val="es-ES"/>
        </w:rPr>
        <w:t xml:space="preserve">América del Sur crece un </w:t>
      </w:r>
      <w:r w:rsidR="00D665CD">
        <w:rPr>
          <w:b/>
          <w:lang w:val="es-ES"/>
        </w:rPr>
        <w:t>3</w:t>
      </w:r>
      <w:r w:rsidR="00E5294A">
        <w:rPr>
          <w:b/>
          <w:lang w:val="es-ES"/>
        </w:rPr>
        <w:t>9,6</w:t>
      </w:r>
      <w:r w:rsidRPr="007C06D9">
        <w:rPr>
          <w:b/>
          <w:lang w:val="es-ES"/>
        </w:rPr>
        <w:t>%</w:t>
      </w:r>
    </w:p>
    <w:p w:rsidR="00A16269" w:rsidRDefault="00A1626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Argentin</w:t>
      </w:r>
      <w:r w:rsidR="007C06D9">
        <w:rPr>
          <w:lang w:val="es-ES"/>
        </w:rPr>
        <w:t>a</w:t>
      </w:r>
      <w:r>
        <w:rPr>
          <w:lang w:val="es-ES"/>
        </w:rPr>
        <w:t xml:space="preserve"> crece un 6</w:t>
      </w:r>
      <w:r w:rsidR="00E5294A">
        <w:rPr>
          <w:lang w:val="es-ES"/>
        </w:rPr>
        <w:t>2,8</w:t>
      </w:r>
      <w:r>
        <w:rPr>
          <w:lang w:val="es-ES"/>
        </w:rPr>
        <w:t>%</w:t>
      </w:r>
      <w:r w:rsidR="007C06D9">
        <w:rPr>
          <w:lang w:val="es-ES"/>
        </w:rPr>
        <w:t>.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 xml:space="preserve">Bolivia crece un </w:t>
      </w:r>
      <w:r w:rsidR="00E5294A">
        <w:rPr>
          <w:lang w:val="es-ES"/>
        </w:rPr>
        <w:t>9</w:t>
      </w:r>
      <w:r>
        <w:rPr>
          <w:lang w:val="es-ES"/>
        </w:rPr>
        <w:t>,5%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Brasil cae un -1</w:t>
      </w:r>
      <w:r w:rsidR="00E5294A">
        <w:rPr>
          <w:lang w:val="es-ES"/>
        </w:rPr>
        <w:t>5</w:t>
      </w:r>
      <w:r>
        <w:rPr>
          <w:lang w:val="es-ES"/>
        </w:rPr>
        <w:t>,</w:t>
      </w:r>
      <w:r w:rsidR="00E5294A">
        <w:rPr>
          <w:lang w:val="es-ES"/>
        </w:rPr>
        <w:t>7</w:t>
      </w:r>
      <w:r>
        <w:rPr>
          <w:lang w:val="es-ES"/>
        </w:rPr>
        <w:t>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Colombia crece un 13,</w:t>
      </w:r>
      <w:r w:rsidR="00E5294A">
        <w:rPr>
          <w:lang w:val="es-ES"/>
        </w:rPr>
        <w:t>8</w:t>
      </w:r>
      <w:r>
        <w:rPr>
          <w:lang w:val="es-ES"/>
        </w:rPr>
        <w:t>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 xml:space="preserve">Perú crece un </w:t>
      </w:r>
      <w:r w:rsidR="00E5294A">
        <w:rPr>
          <w:lang w:val="es-ES"/>
        </w:rPr>
        <w:t>9</w:t>
      </w:r>
      <w:r>
        <w:rPr>
          <w:lang w:val="es-ES"/>
        </w:rPr>
        <w:t>,</w:t>
      </w:r>
      <w:r w:rsidR="00E5294A">
        <w:rPr>
          <w:lang w:val="es-ES"/>
        </w:rPr>
        <w:t>1</w:t>
      </w:r>
      <w:r>
        <w:rPr>
          <w:lang w:val="es-ES"/>
        </w:rPr>
        <w:t>%</w:t>
      </w:r>
    </w:p>
    <w:p w:rsidR="007C06D9" w:rsidRPr="007C06D9" w:rsidRDefault="007C06D9" w:rsidP="007C06D9">
      <w:pPr>
        <w:pStyle w:val="Prrafodelista"/>
        <w:numPr>
          <w:ilvl w:val="0"/>
          <w:numId w:val="22"/>
        </w:numPr>
        <w:ind w:left="284" w:hanging="284"/>
        <w:jc w:val="both"/>
        <w:rPr>
          <w:b/>
          <w:lang w:val="es-ES"/>
        </w:rPr>
      </w:pPr>
      <w:r w:rsidRPr="007C06D9">
        <w:rPr>
          <w:b/>
          <w:lang w:val="es-ES"/>
        </w:rPr>
        <w:t xml:space="preserve">América del </w:t>
      </w:r>
      <w:r>
        <w:rPr>
          <w:b/>
          <w:lang w:val="es-ES"/>
        </w:rPr>
        <w:t>Norte</w:t>
      </w:r>
      <w:r w:rsidRPr="007C06D9">
        <w:rPr>
          <w:b/>
          <w:lang w:val="es-ES"/>
        </w:rPr>
        <w:t xml:space="preserve"> crece un </w:t>
      </w:r>
      <w:r>
        <w:rPr>
          <w:b/>
          <w:lang w:val="es-ES"/>
        </w:rPr>
        <w:t>2</w:t>
      </w:r>
      <w:r w:rsidR="00E5294A">
        <w:rPr>
          <w:b/>
          <w:lang w:val="es-ES"/>
        </w:rPr>
        <w:t>1</w:t>
      </w:r>
      <w:r>
        <w:rPr>
          <w:b/>
          <w:lang w:val="es-ES"/>
        </w:rPr>
        <w:t>,</w:t>
      </w:r>
      <w:r w:rsidR="00E5294A">
        <w:rPr>
          <w:b/>
          <w:lang w:val="es-ES"/>
        </w:rPr>
        <w:t>9</w:t>
      </w:r>
      <w:r w:rsidRPr="007C06D9">
        <w:rPr>
          <w:b/>
          <w:lang w:val="es-ES"/>
        </w:rPr>
        <w:t>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Estados Unidos crece un 24,</w:t>
      </w:r>
      <w:r w:rsidR="00E5294A">
        <w:rPr>
          <w:lang w:val="es-ES"/>
        </w:rPr>
        <w:t>4</w:t>
      </w:r>
      <w:r>
        <w:rPr>
          <w:lang w:val="es-ES"/>
        </w:rPr>
        <w:t>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Canadá crece un 1</w:t>
      </w:r>
      <w:r w:rsidR="00E5294A">
        <w:rPr>
          <w:lang w:val="es-ES"/>
        </w:rPr>
        <w:t>7,7</w:t>
      </w:r>
      <w:r>
        <w:rPr>
          <w:lang w:val="es-ES"/>
        </w:rPr>
        <w:t>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México crece un 1</w:t>
      </w:r>
      <w:r w:rsidR="00E5294A">
        <w:rPr>
          <w:lang w:val="es-ES"/>
        </w:rPr>
        <w:t>2,8</w:t>
      </w:r>
      <w:r>
        <w:rPr>
          <w:lang w:val="es-ES"/>
        </w:rPr>
        <w:t>%</w:t>
      </w:r>
    </w:p>
    <w:p w:rsidR="007C06D9" w:rsidRPr="007C06D9" w:rsidRDefault="007C06D9" w:rsidP="007C06D9">
      <w:pPr>
        <w:pStyle w:val="Prrafodelista"/>
        <w:numPr>
          <w:ilvl w:val="0"/>
          <w:numId w:val="22"/>
        </w:numPr>
        <w:ind w:left="284" w:hanging="284"/>
        <w:jc w:val="both"/>
        <w:rPr>
          <w:b/>
          <w:lang w:val="es-ES"/>
        </w:rPr>
      </w:pPr>
      <w:r>
        <w:rPr>
          <w:b/>
          <w:lang w:val="es-ES"/>
        </w:rPr>
        <w:t>Europa</w:t>
      </w:r>
      <w:r w:rsidRPr="007C06D9">
        <w:rPr>
          <w:b/>
          <w:lang w:val="es-ES"/>
        </w:rPr>
        <w:t xml:space="preserve"> crece un </w:t>
      </w:r>
      <w:r>
        <w:rPr>
          <w:b/>
          <w:lang w:val="es-ES"/>
        </w:rPr>
        <w:t>10,</w:t>
      </w:r>
      <w:r w:rsidR="00E5294A">
        <w:rPr>
          <w:b/>
          <w:lang w:val="es-ES"/>
        </w:rPr>
        <w:t>8</w:t>
      </w:r>
      <w:r w:rsidRPr="007C06D9">
        <w:rPr>
          <w:b/>
          <w:lang w:val="es-ES"/>
        </w:rPr>
        <w:t>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 xml:space="preserve">Alemania crece un </w:t>
      </w:r>
      <w:r w:rsidR="00E5294A">
        <w:rPr>
          <w:lang w:val="es-ES"/>
        </w:rPr>
        <w:t>5,2</w:t>
      </w:r>
      <w:r>
        <w:rPr>
          <w:lang w:val="es-ES"/>
        </w:rPr>
        <w:t>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España crece un 4,</w:t>
      </w:r>
      <w:r w:rsidR="00E5294A">
        <w:rPr>
          <w:lang w:val="es-ES"/>
        </w:rPr>
        <w:t>7</w:t>
      </w:r>
      <w:r>
        <w:rPr>
          <w:lang w:val="es-ES"/>
        </w:rPr>
        <w:t>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Francia crece un 10,4%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Inglaterra crece un 28,</w:t>
      </w:r>
      <w:r w:rsidR="00E5294A">
        <w:rPr>
          <w:lang w:val="es-ES"/>
        </w:rPr>
        <w:t>2</w:t>
      </w:r>
      <w:r>
        <w:rPr>
          <w:lang w:val="es-ES"/>
        </w:rPr>
        <w:t>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Italia crece un 13,2%</w:t>
      </w:r>
    </w:p>
    <w:p w:rsidR="007C06D9" w:rsidRDefault="007C06D9" w:rsidP="007C06D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Holanda crece un 10,</w:t>
      </w:r>
      <w:r w:rsidR="00E5294A">
        <w:rPr>
          <w:lang w:val="es-ES"/>
        </w:rPr>
        <w:t>2</w:t>
      </w:r>
      <w:r>
        <w:rPr>
          <w:lang w:val="es-ES"/>
        </w:rPr>
        <w:t>%</w:t>
      </w:r>
    </w:p>
    <w:p w:rsidR="007C06D9" w:rsidRPr="007C06D9" w:rsidRDefault="007C06D9" w:rsidP="007C06D9">
      <w:pPr>
        <w:pStyle w:val="Prrafodelista"/>
        <w:numPr>
          <w:ilvl w:val="0"/>
          <w:numId w:val="22"/>
        </w:numPr>
        <w:ind w:left="284" w:hanging="284"/>
        <w:jc w:val="both"/>
        <w:rPr>
          <w:b/>
          <w:lang w:val="es-ES"/>
        </w:rPr>
      </w:pPr>
      <w:r>
        <w:rPr>
          <w:b/>
          <w:lang w:val="es-ES"/>
        </w:rPr>
        <w:t>Asia</w:t>
      </w:r>
      <w:r w:rsidRPr="007C06D9">
        <w:rPr>
          <w:b/>
          <w:lang w:val="es-ES"/>
        </w:rPr>
        <w:t xml:space="preserve"> crece un </w:t>
      </w:r>
      <w:r>
        <w:rPr>
          <w:b/>
          <w:lang w:val="es-ES"/>
        </w:rPr>
        <w:t>2</w:t>
      </w:r>
      <w:r w:rsidR="00E5294A">
        <w:rPr>
          <w:b/>
          <w:lang w:val="es-ES"/>
        </w:rPr>
        <w:t>8,8</w:t>
      </w:r>
      <w:r w:rsidRPr="007C06D9">
        <w:rPr>
          <w:b/>
          <w:lang w:val="es-ES"/>
        </w:rPr>
        <w:t>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China crece un 7</w:t>
      </w:r>
      <w:r w:rsidR="00E5294A">
        <w:rPr>
          <w:lang w:val="es-ES"/>
        </w:rPr>
        <w:t>5</w:t>
      </w:r>
      <w:r>
        <w:rPr>
          <w:lang w:val="es-ES"/>
        </w:rPr>
        <w:t>,</w:t>
      </w:r>
      <w:r w:rsidR="00E5294A">
        <w:rPr>
          <w:lang w:val="es-ES"/>
        </w:rPr>
        <w:t>7</w:t>
      </w:r>
      <w:r>
        <w:rPr>
          <w:lang w:val="es-ES"/>
        </w:rPr>
        <w:t>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 xml:space="preserve">Corea </w:t>
      </w:r>
      <w:r w:rsidR="00E5294A">
        <w:rPr>
          <w:lang w:val="es-ES"/>
        </w:rPr>
        <w:t xml:space="preserve">del sur </w:t>
      </w:r>
      <w:r>
        <w:rPr>
          <w:lang w:val="es-ES"/>
        </w:rPr>
        <w:t>crece un 1</w:t>
      </w:r>
      <w:r w:rsidR="00E5294A">
        <w:rPr>
          <w:lang w:val="es-ES"/>
        </w:rPr>
        <w:t>7</w:t>
      </w:r>
      <w:r>
        <w:rPr>
          <w:lang w:val="es-ES"/>
        </w:rPr>
        <w:t>,</w:t>
      </w:r>
      <w:r w:rsidR="00E5294A">
        <w:rPr>
          <w:lang w:val="es-ES"/>
        </w:rPr>
        <w:t>5</w:t>
      </w:r>
      <w:r>
        <w:rPr>
          <w:lang w:val="es-ES"/>
        </w:rPr>
        <w:t>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Japón crece un 13,</w:t>
      </w:r>
      <w:r w:rsidR="00E5294A">
        <w:rPr>
          <w:lang w:val="es-ES"/>
        </w:rPr>
        <w:t>3</w:t>
      </w:r>
      <w:r>
        <w:rPr>
          <w:lang w:val="es-ES"/>
        </w:rPr>
        <w:t>%</w:t>
      </w:r>
    </w:p>
    <w:p w:rsidR="007C06D9" w:rsidRPr="007C06D9" w:rsidRDefault="007C06D9" w:rsidP="007C06D9">
      <w:pPr>
        <w:pStyle w:val="Prrafodelista"/>
        <w:numPr>
          <w:ilvl w:val="0"/>
          <w:numId w:val="22"/>
        </w:numPr>
        <w:ind w:left="284" w:hanging="284"/>
        <w:jc w:val="both"/>
        <w:rPr>
          <w:b/>
          <w:lang w:val="es-ES"/>
        </w:rPr>
      </w:pPr>
      <w:r>
        <w:rPr>
          <w:b/>
          <w:lang w:val="es-ES"/>
        </w:rPr>
        <w:t>Oceanía</w:t>
      </w:r>
      <w:r w:rsidRPr="007C06D9">
        <w:rPr>
          <w:b/>
          <w:lang w:val="es-ES"/>
        </w:rPr>
        <w:t xml:space="preserve"> crece un </w:t>
      </w:r>
      <w:r>
        <w:rPr>
          <w:b/>
          <w:lang w:val="es-ES"/>
        </w:rPr>
        <w:t>2</w:t>
      </w:r>
      <w:r w:rsidR="00E5294A">
        <w:rPr>
          <w:b/>
          <w:lang w:val="es-ES"/>
        </w:rPr>
        <w:t>2</w:t>
      </w:r>
      <w:r>
        <w:rPr>
          <w:b/>
          <w:lang w:val="es-ES"/>
        </w:rPr>
        <w:t>,8%</w:t>
      </w:r>
    </w:p>
    <w:p w:rsidR="007C06D9" w:rsidRDefault="007C06D9" w:rsidP="00A16269">
      <w:pPr>
        <w:pStyle w:val="Prrafodelista"/>
        <w:numPr>
          <w:ilvl w:val="0"/>
          <w:numId w:val="22"/>
        </w:numPr>
        <w:jc w:val="both"/>
        <w:rPr>
          <w:lang w:val="es-ES"/>
        </w:rPr>
      </w:pPr>
      <w:r>
        <w:rPr>
          <w:lang w:val="es-ES"/>
        </w:rPr>
        <w:t>Australia crece un 2</w:t>
      </w:r>
      <w:r w:rsidR="00E5294A">
        <w:rPr>
          <w:lang w:val="es-ES"/>
        </w:rPr>
        <w:t>6</w:t>
      </w:r>
      <w:r>
        <w:rPr>
          <w:lang w:val="es-ES"/>
        </w:rPr>
        <w:t>,</w:t>
      </w:r>
      <w:r w:rsidR="00E5294A">
        <w:rPr>
          <w:lang w:val="es-ES"/>
        </w:rPr>
        <w:t>1</w:t>
      </w:r>
      <w:r>
        <w:rPr>
          <w:lang w:val="es-ES"/>
        </w:rPr>
        <w:t>%</w:t>
      </w:r>
    </w:p>
    <w:p w:rsidR="003F5BDE" w:rsidRDefault="003F5BDE" w:rsidP="007C06D9">
      <w:pPr>
        <w:jc w:val="both"/>
      </w:pPr>
      <w:r>
        <w:lastRenderedPageBreak/>
        <w:t xml:space="preserve">En términos de llegadas por pasos fronterizos, el Aeropuerto C. Arturo Merino Benitez </w:t>
      </w:r>
      <w:r w:rsidR="009369AB">
        <w:t xml:space="preserve">que </w:t>
      </w:r>
      <w:r>
        <w:t>sigue siendo el principal paso por donde ingresan los turistas a Chile</w:t>
      </w:r>
      <w:r w:rsidR="009369AB">
        <w:t xml:space="preserve"> (tiene una participación de un 27,3% en temporada estival) registró un incremento de un 19% respecto a las llegadas del período anterior, seguido por Los Libertadores que registró un incremento de un 52,3% (con una participación de un 22%).</w:t>
      </w:r>
    </w:p>
    <w:p w:rsidR="007C06D9" w:rsidRDefault="007C06D9" w:rsidP="007C06D9">
      <w:pPr>
        <w:jc w:val="both"/>
      </w:pPr>
      <w:r>
        <w:t xml:space="preserve">Este incremento en la llegada de turistas se ha visto reflejado en un aumento en </w:t>
      </w:r>
      <w:r w:rsidR="003F5BDE">
        <w:t>las ventas en Chile</w:t>
      </w:r>
      <w:r>
        <w:t xml:space="preserve">. Lo anterior se puede observar con los datos entregados por </w:t>
      </w:r>
      <w:proofErr w:type="spellStart"/>
      <w:r>
        <w:t>Transbank</w:t>
      </w:r>
      <w:proofErr w:type="spellEnd"/>
      <w:r>
        <w:t>, que corresponden a las ventas con tarjetas de crédito emitidas fuera del país.</w:t>
      </w:r>
    </w:p>
    <w:p w:rsidR="007C06D9" w:rsidRDefault="007C06D9" w:rsidP="006F302D">
      <w:pPr>
        <w:jc w:val="both"/>
      </w:pPr>
      <w:r>
        <w:t>E</w:t>
      </w:r>
      <w:r w:rsidR="006F302D">
        <w:t>n efecto</w:t>
      </w:r>
      <w:r>
        <w:t xml:space="preserve">, las ventas totales aumentaron en un 43% considerando la temporada estival hasta febrero. En diciembre el aumento fue de un 38%, en enero correspondió a un 40% y en febrero a un 52%. </w:t>
      </w:r>
    </w:p>
    <w:p w:rsidR="00B26648" w:rsidRDefault="007C06D9" w:rsidP="006F302D">
      <w:pPr>
        <w:jc w:val="both"/>
      </w:pPr>
      <w:r>
        <w:t xml:space="preserve">Dentro de los países que presentan mayor </w:t>
      </w:r>
      <w:r w:rsidR="00B26648">
        <w:t xml:space="preserve">venta </w:t>
      </w:r>
      <w:r>
        <w:t xml:space="preserve">total </w:t>
      </w:r>
      <w:r w:rsidR="00B26648">
        <w:t>con</w:t>
      </w:r>
      <w:r>
        <w:t xml:space="preserve"> tarjeta de crédito</w:t>
      </w:r>
      <w:r w:rsidR="006F302D">
        <w:t xml:space="preserve"> emitidas en esos países</w:t>
      </w:r>
      <w:r>
        <w:t xml:space="preserve">, se encuentran Argentina, Estados Unidos y Brasil. </w:t>
      </w:r>
      <w:r w:rsidR="006F302D">
        <w:t xml:space="preserve">Al igual que las cifras del 2015, las </w:t>
      </w:r>
      <w:r w:rsidR="00B26648">
        <w:t>ventas</w:t>
      </w:r>
      <w:r w:rsidR="006F302D">
        <w:t xml:space="preserve"> con tarjetas de crédito emitidas en Argentina superan en monto total a </w:t>
      </w:r>
      <w:r w:rsidR="00B26648">
        <w:t>aquellas</w:t>
      </w:r>
      <w:r w:rsidR="006F302D">
        <w:t xml:space="preserve"> con tarjetas de crédito emitidas en Estados Unidos. De hecho, durante todo el 2015, las tarjetas argentinas representaron un 29% de</w:t>
      </w:r>
      <w:r w:rsidR="00B26648">
        <w:t xml:space="preserve"> </w:t>
      </w:r>
      <w:r w:rsidR="006F302D">
        <w:t>l</w:t>
      </w:r>
      <w:r w:rsidR="00B26648">
        <w:t>as</w:t>
      </w:r>
      <w:r w:rsidR="006F302D">
        <w:t xml:space="preserve"> </w:t>
      </w:r>
      <w:r w:rsidR="00B26648">
        <w:t xml:space="preserve">ventas </w:t>
      </w:r>
      <w:r w:rsidR="006F302D">
        <w:t>total</w:t>
      </w:r>
      <w:r w:rsidR="00B26648">
        <w:t>es</w:t>
      </w:r>
      <w:r w:rsidR="006F302D">
        <w:t xml:space="preserve"> con tarjetas de crédito, mientras que las de Estados Unidos representaron un 26%. Durante la temporada estival las ventas con tarjetas argentinas representaron cerca de un 48%, mientras que las ventas con tarjetas de estados unidos un 20% de las ventas totales. Sin embargo, promediando por el número de transacciones, el monto promedio de las </w:t>
      </w:r>
      <w:r w:rsidR="00B26648">
        <w:t xml:space="preserve">ventas con </w:t>
      </w:r>
      <w:r w:rsidR="006F302D">
        <w:t xml:space="preserve">tarjetas </w:t>
      </w:r>
      <w:r w:rsidR="00B26648">
        <w:t xml:space="preserve">de crédito </w:t>
      </w:r>
      <w:r w:rsidR="006F302D">
        <w:t xml:space="preserve">emitidas en Estados Unidos es mayor </w:t>
      </w:r>
      <w:r w:rsidR="00BD7F1A">
        <w:t xml:space="preserve">(UF 3,17 UF/transacciones) </w:t>
      </w:r>
      <w:r w:rsidR="006F302D">
        <w:t xml:space="preserve">que </w:t>
      </w:r>
      <w:r w:rsidR="00B26648">
        <w:t>aquellas registradas con tarjetas de Argentina</w:t>
      </w:r>
      <w:r w:rsidR="00BD7F1A">
        <w:t xml:space="preserve"> (UF 1,94 UF/transacciones)</w:t>
      </w:r>
      <w:r w:rsidR="00B26648">
        <w:t>, casi duplicando el monto.</w:t>
      </w:r>
    </w:p>
    <w:p w:rsidR="007C06D9" w:rsidRDefault="007C06D9" w:rsidP="006F302D">
      <w:pPr>
        <w:jc w:val="both"/>
      </w:pPr>
      <w:r>
        <w:t xml:space="preserve">Considerando las variaciones respecto a la temporada anterior, destaca fuertemente el aumento que tuvieron las </w:t>
      </w:r>
      <w:r w:rsidR="00B26648">
        <w:t>ventas</w:t>
      </w:r>
      <w:r w:rsidR="006F302D">
        <w:t xml:space="preserve"> con tarjetas emitidas en Argentina</w:t>
      </w:r>
      <w:r>
        <w:t xml:space="preserve">. En la temporada el aumento </w:t>
      </w:r>
      <w:proofErr w:type="spellStart"/>
      <w:r>
        <w:t>promedió</w:t>
      </w:r>
      <w:proofErr w:type="spellEnd"/>
      <w:r>
        <w:t xml:space="preserve"> un 158%</w:t>
      </w:r>
      <w:r w:rsidR="003F5BDE">
        <w:t xml:space="preserve"> (</w:t>
      </w:r>
      <w:r w:rsidR="003F5BDE">
        <w:rPr>
          <w:lang w:val="es-MX"/>
        </w:rPr>
        <w:t>esto implicó pasar de un total de ventas de $76.350 millones a $196.960 millones)</w:t>
      </w:r>
      <w:r>
        <w:t xml:space="preserve">, aumentando para el mes de diciembre 2015 respecto a diciembre 2014 un 212%, en enero un 135% y en febrero un 157%. Otro país que tuvo un aumento considerable en las ventas fue Inglaterra con un 26% en la temporada, seguido por Francia con un 17% y Estados Unidos con un 12% de aumento. Brasil por su parte redujo </w:t>
      </w:r>
      <w:r w:rsidR="006F302D">
        <w:t>sus compras</w:t>
      </w:r>
      <w:r>
        <w:t xml:space="preserve"> en tarjetas en un -33%.</w:t>
      </w:r>
    </w:p>
    <w:p w:rsidR="00B26648" w:rsidRDefault="00B26648" w:rsidP="00B26648">
      <w:pPr>
        <w:jc w:val="both"/>
      </w:pPr>
      <w:r>
        <w:t xml:space="preserve">Si los datos se analizan </w:t>
      </w:r>
      <w:r w:rsidRPr="00B26648">
        <w:rPr>
          <w:u w:val="single"/>
        </w:rPr>
        <w:t>por rubro</w:t>
      </w:r>
      <w:r>
        <w:t>, todos los rubros considerados</w:t>
      </w:r>
      <w:r>
        <w:rPr>
          <w:rStyle w:val="Refdenotaalpie"/>
        </w:rPr>
        <w:footnoteReference w:id="1"/>
      </w:r>
      <w:r>
        <w:t xml:space="preserve"> aumentaron sus ventas, destacando “compras” que aumentó un 108,5% en el período y que es el que tiene mayor venta de todos los rubros analizados. Le sigue en términos de aumento los “Servicios automotrices y </w:t>
      </w:r>
      <w:r>
        <w:lastRenderedPageBreak/>
        <w:t xml:space="preserve">combustibles” con un 45,8%, luego “alimentación” (38%), “actividades turísticas y entretención” con un 21%, “Hoteles” un 18%. </w:t>
      </w:r>
    </w:p>
    <w:p w:rsidR="00B26648" w:rsidRDefault="00B26648" w:rsidP="00B26648">
      <w:pPr>
        <w:jc w:val="both"/>
      </w:pPr>
      <w:r>
        <w:t xml:space="preserve">Considerando el rubro hoteles, el país que más ventas registra en este rubro es Estados Unidos, que además tuvo un incremento de casi un 25% en el período. Le sigue Argentina en términos absolutos y con un incremento en el gasto de un 68,3%. </w:t>
      </w:r>
    </w:p>
    <w:p w:rsidR="00B26648" w:rsidRDefault="00B26648" w:rsidP="00B26648">
      <w:pPr>
        <w:jc w:val="both"/>
      </w:pPr>
      <w:r>
        <w:t xml:space="preserve">Argentina también supera, en términos absolutos, a Estados Unidos en el rubro de actividades turísticas y entretención, donde además se observa que hubo un aumento en las ventas de 79,4% para los argentinos y de un 13,7% para los estadounidenses. </w:t>
      </w:r>
    </w:p>
    <w:p w:rsidR="00B26648" w:rsidRDefault="00B26648" w:rsidP="00B26648">
      <w:pPr>
        <w:jc w:val="both"/>
      </w:pPr>
      <w:r>
        <w:t>En alimentación, nuevamente el mayor gasto lo tienen los argentinos, seguido por Estados Unidos y Brasil. Para los dos primeros países, estos aumentaron sus ventas en la temporada en un 110,4% y un 16,0% respectivamente, mientras que Brasil se redujo en un -27,9%.</w:t>
      </w:r>
    </w:p>
    <w:p w:rsidR="00B26648" w:rsidRDefault="00B26648" w:rsidP="003F5BDE">
      <w:pPr>
        <w:jc w:val="both"/>
      </w:pPr>
      <w:r>
        <w:t xml:space="preserve">El rubro que más destaca en términos de </w:t>
      </w:r>
      <w:r w:rsidR="00BD7F1A">
        <w:t>ventas</w:t>
      </w:r>
      <w:r>
        <w:t xml:space="preserve"> es el de compras, pero específicamente para los argentinos. En la temporada anterior, las ventas totales en este rubro </w:t>
      </w:r>
      <w:proofErr w:type="gramStart"/>
      <w:r>
        <w:t>fue</w:t>
      </w:r>
      <w:proofErr w:type="gramEnd"/>
      <w:r>
        <w:t xml:space="preserve"> de casi 40 mil millones de pesos, mientras que esta temporada, las ventas se incrementaron un 220,4%, llegando a un poco más de 125 mil millones. Destacan también en este rubro Estados Unidos y Brasil </w:t>
      </w:r>
      <w:r w:rsidR="003F5BDE">
        <w:t>con un</w:t>
      </w:r>
      <w:r>
        <w:t xml:space="preserve"> monto absoluto </w:t>
      </w:r>
      <w:r w:rsidR="003F5BDE">
        <w:t xml:space="preserve">de </w:t>
      </w:r>
      <w:r>
        <w:t>8,7 mil millones y 6,5 mil millones respectivamente, y en crecimiento Inglaterra y Francia que aumentan un 29% y un 21% respectivamente.</w:t>
      </w:r>
    </w:p>
    <w:p w:rsidR="000266C8" w:rsidRDefault="000266C8" w:rsidP="008B50BC">
      <w:pPr>
        <w:jc w:val="both"/>
        <w:rPr>
          <w:b/>
          <w:sz w:val="26"/>
          <w:szCs w:val="26"/>
        </w:rPr>
      </w:pPr>
    </w:p>
    <w:p w:rsidR="008B50BC" w:rsidRPr="00905F59" w:rsidRDefault="008B50BC" w:rsidP="008B50B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905F59">
        <w:rPr>
          <w:b/>
          <w:sz w:val="26"/>
          <w:szCs w:val="26"/>
        </w:rPr>
        <w:t xml:space="preserve">.- </w:t>
      </w:r>
      <w:proofErr w:type="spellStart"/>
      <w:r>
        <w:rPr>
          <w:b/>
          <w:sz w:val="26"/>
          <w:szCs w:val="26"/>
        </w:rPr>
        <w:t>Ocupabilidad</w:t>
      </w:r>
      <w:proofErr w:type="spellEnd"/>
      <w:r>
        <w:rPr>
          <w:b/>
          <w:sz w:val="26"/>
          <w:szCs w:val="26"/>
        </w:rPr>
        <w:t xml:space="preserve"> Semana Santa</w:t>
      </w:r>
    </w:p>
    <w:p w:rsidR="007C06D9" w:rsidRDefault="008B50BC" w:rsidP="007C06D9">
      <w:pPr>
        <w:jc w:val="both"/>
      </w:pPr>
      <w:r>
        <w:t xml:space="preserve">Los excelentes resultados de temporada estival, culminan con otro resultado muy positivo para el sector. La tasa de </w:t>
      </w:r>
      <w:proofErr w:type="spellStart"/>
      <w:r>
        <w:t>ocupabilidad</w:t>
      </w:r>
      <w:proofErr w:type="spellEnd"/>
      <w:r>
        <w:t xml:space="preserve"> para semana santa (medida del jueves 24 al sábado 26 de marzo</w:t>
      </w:r>
      <w:r w:rsidR="00AC0B15">
        <w:t xml:space="preserve"> y sin considerar los 4 destinos que no se midieron el año pasado en este mismo período por las lluvias que los afectaron</w:t>
      </w:r>
      <w:r>
        <w:t xml:space="preserve">), fue de un 65,8%, la que comparado con el 2015 (el año pasado semana santa se midió del jueves 2 al sábado 4 de abril) es 10 puntos porcentuales mayor (55,8% fue la tasa de </w:t>
      </w:r>
      <w:proofErr w:type="spellStart"/>
      <w:r>
        <w:t>ocupabilidad</w:t>
      </w:r>
      <w:proofErr w:type="spellEnd"/>
      <w:r>
        <w:t xml:space="preserve"> en este período el 2015).</w:t>
      </w:r>
    </w:p>
    <w:p w:rsidR="008B50BC" w:rsidRDefault="008B50BC" w:rsidP="007C06D9">
      <w:pPr>
        <w:jc w:val="both"/>
      </w:pPr>
      <w:r>
        <w:t xml:space="preserve">El destino con mayor tasa de </w:t>
      </w:r>
      <w:proofErr w:type="spellStart"/>
      <w:r>
        <w:t>ocupabilidad</w:t>
      </w:r>
      <w:proofErr w:type="spellEnd"/>
      <w:r>
        <w:t xml:space="preserve"> fue San Pedro de Atacama (94,5%) seguido por el Cajón del Maipo (90,0%), Valle del Elqui (86,2%), Aysén – Coyhaique (83,2%), Valdivia – Corral (82,4%)</w:t>
      </w:r>
      <w:r w:rsidR="00AC0B15">
        <w:t>, Valdivia – Corral (82,4%)</w:t>
      </w:r>
      <w:r>
        <w:t xml:space="preserve"> y Valparaíso, Viña del Mar y Concón (80,2%), todos destinos con tasa de </w:t>
      </w:r>
      <w:proofErr w:type="spellStart"/>
      <w:r>
        <w:t>ocupabilidad</w:t>
      </w:r>
      <w:proofErr w:type="spellEnd"/>
      <w:r>
        <w:t xml:space="preserve"> mayores a 80%.</w:t>
      </w:r>
    </w:p>
    <w:p w:rsidR="008B50BC" w:rsidRDefault="008B50BC" w:rsidP="007C06D9">
      <w:pPr>
        <w:jc w:val="both"/>
      </w:pPr>
      <w:r>
        <w:t xml:space="preserve">El destino con menor tasa de </w:t>
      </w:r>
      <w:proofErr w:type="spellStart"/>
      <w:r>
        <w:t>ocupabilidad</w:t>
      </w:r>
      <w:proofErr w:type="spellEnd"/>
      <w:r>
        <w:t xml:space="preserve"> es Valle del </w:t>
      </w:r>
      <w:proofErr w:type="spellStart"/>
      <w:r>
        <w:t>Huasco</w:t>
      </w:r>
      <w:proofErr w:type="spellEnd"/>
      <w:r>
        <w:t xml:space="preserve"> (22,4%), seguido por Copiapó y Volcán Ojos del Salado (26,7%), Cuenca Lago </w:t>
      </w:r>
      <w:proofErr w:type="spellStart"/>
      <w:r>
        <w:t>Ranco</w:t>
      </w:r>
      <w:proofErr w:type="spellEnd"/>
      <w:r>
        <w:t xml:space="preserve"> (28,0%), Concepción y alrededores (30,2%), Curicó Valle y Cordillera (38,2%) y Antofagasta (39,1%), todos destinos con tasa de </w:t>
      </w:r>
      <w:proofErr w:type="spellStart"/>
      <w:r>
        <w:t>ocupabilidad</w:t>
      </w:r>
      <w:proofErr w:type="spellEnd"/>
      <w:r>
        <w:t xml:space="preserve"> menor a 40%.</w:t>
      </w:r>
    </w:p>
    <w:p w:rsidR="008B50BC" w:rsidRDefault="008B50BC" w:rsidP="007C06D9">
      <w:pPr>
        <w:jc w:val="both"/>
      </w:pPr>
      <w:r>
        <w:lastRenderedPageBreak/>
        <w:t xml:space="preserve">20 destinos tuvieron tasas de </w:t>
      </w:r>
      <w:proofErr w:type="spellStart"/>
      <w:r>
        <w:t>ocupabilidad</w:t>
      </w:r>
      <w:proofErr w:type="spellEnd"/>
      <w:r>
        <w:t xml:space="preserve"> mayor al promedio nacional (65,8%), esto es un 5</w:t>
      </w:r>
      <w:r w:rsidR="00AC0B15">
        <w:t>5,6</w:t>
      </w:r>
      <w:r>
        <w:t>% de los destinos</w:t>
      </w:r>
      <w:r w:rsidR="00AC0B15">
        <w:t xml:space="preserve">, y el 69,4% de los destinos (veinticinco de treinta y seis) tuvo un aumento en su tasa de </w:t>
      </w:r>
      <w:proofErr w:type="spellStart"/>
      <w:r w:rsidR="00AC0B15">
        <w:t>ocupabilidad</w:t>
      </w:r>
      <w:proofErr w:type="spellEnd"/>
      <w:r w:rsidR="00AC0B15">
        <w:t xml:space="preserve"> el 2016 respecto al 2015.</w:t>
      </w:r>
      <w:r>
        <w:t xml:space="preserve"> </w:t>
      </w:r>
    </w:p>
    <w:p w:rsidR="001308C8" w:rsidRDefault="001308C8" w:rsidP="007C06D9">
      <w:pPr>
        <w:jc w:val="both"/>
      </w:pPr>
      <w:r>
        <w:t xml:space="preserve">El destino que más aumentó tu tasa de </w:t>
      </w:r>
      <w:proofErr w:type="spellStart"/>
      <w:r>
        <w:t>ocupabilidad</w:t>
      </w:r>
      <w:proofErr w:type="spellEnd"/>
      <w:r>
        <w:t xml:space="preserve"> fue </w:t>
      </w:r>
      <w:proofErr w:type="spellStart"/>
      <w:r>
        <w:t>Nahuelbuta</w:t>
      </w:r>
      <w:proofErr w:type="spellEnd"/>
      <w:r>
        <w:t xml:space="preserve"> (30,1 </w:t>
      </w:r>
      <w:proofErr w:type="spellStart"/>
      <w:r>
        <w:t>pp</w:t>
      </w:r>
      <w:proofErr w:type="spellEnd"/>
      <w:r>
        <w:t xml:space="preserve">), seguido por Punta Arenas y Estrecho de Magallanes (27,3 </w:t>
      </w:r>
      <w:proofErr w:type="spellStart"/>
      <w:r>
        <w:t>pp</w:t>
      </w:r>
      <w:proofErr w:type="spellEnd"/>
      <w:r>
        <w:t xml:space="preserve">), Araucanía Andina (26,7 </w:t>
      </w:r>
      <w:proofErr w:type="spellStart"/>
      <w:r>
        <w:t>pp</w:t>
      </w:r>
      <w:proofErr w:type="spellEnd"/>
      <w:r>
        <w:t xml:space="preserve">), Iquique (24,7 </w:t>
      </w:r>
      <w:proofErr w:type="spellStart"/>
      <w:r>
        <w:t>pp</w:t>
      </w:r>
      <w:proofErr w:type="spellEnd"/>
      <w:r>
        <w:t xml:space="preserve">), Araucanía Lacustre (23,0 </w:t>
      </w:r>
      <w:proofErr w:type="spellStart"/>
      <w:r>
        <w:t>pp</w:t>
      </w:r>
      <w:proofErr w:type="spellEnd"/>
      <w:r>
        <w:t>),</w:t>
      </w:r>
      <w:r w:rsidR="00AC0B15">
        <w:t xml:space="preserve"> Parque Nacional Torres del </w:t>
      </w:r>
      <w:proofErr w:type="spellStart"/>
      <w:r w:rsidR="00AC0B15">
        <w:t>Paine</w:t>
      </w:r>
      <w:proofErr w:type="spellEnd"/>
      <w:r w:rsidR="00AC0B15">
        <w:t xml:space="preserve"> y Puerto </w:t>
      </w:r>
      <w:proofErr w:type="gramStart"/>
      <w:r w:rsidR="00AC0B15">
        <w:t>Natales(</w:t>
      </w:r>
      <w:proofErr w:type="gramEnd"/>
      <w:r w:rsidR="00AC0B15">
        <w:t>21,9),</w:t>
      </w:r>
      <w:r>
        <w:t xml:space="preserve"> Santiago Urbano (21,3 </w:t>
      </w:r>
      <w:proofErr w:type="spellStart"/>
      <w:r>
        <w:t>pp</w:t>
      </w:r>
      <w:proofErr w:type="spellEnd"/>
      <w:r>
        <w:t xml:space="preserve">), Temuco (21,1 </w:t>
      </w:r>
      <w:proofErr w:type="spellStart"/>
      <w:r>
        <w:t>pp</w:t>
      </w:r>
      <w:proofErr w:type="spellEnd"/>
      <w:r>
        <w:t xml:space="preserve">) y Siete Lagos, (21,0 </w:t>
      </w:r>
      <w:proofErr w:type="spellStart"/>
      <w:r>
        <w:t>pp</w:t>
      </w:r>
      <w:proofErr w:type="spellEnd"/>
      <w:r>
        <w:t>). Todos con aumentos sobre 20 pp.</w:t>
      </w:r>
    </w:p>
    <w:p w:rsidR="001308C8" w:rsidRPr="007C06D9" w:rsidRDefault="001308C8" w:rsidP="007C06D9">
      <w:pPr>
        <w:jc w:val="both"/>
      </w:pPr>
      <w:r>
        <w:t xml:space="preserve">El destino que tuvo una mayor caída en su tasa de </w:t>
      </w:r>
      <w:proofErr w:type="spellStart"/>
      <w:r>
        <w:t>ocupabilidad</w:t>
      </w:r>
      <w:proofErr w:type="spellEnd"/>
      <w:r>
        <w:t xml:space="preserve"> fue el Litoral de Los Poetas (-19,6 </w:t>
      </w:r>
      <w:proofErr w:type="spellStart"/>
      <w:r>
        <w:t>pp</w:t>
      </w:r>
      <w:proofErr w:type="spellEnd"/>
      <w:r>
        <w:t xml:space="preserve">), seguido por Valle Las Trancas (-15,7 </w:t>
      </w:r>
      <w:proofErr w:type="spellStart"/>
      <w:r>
        <w:t>pp</w:t>
      </w:r>
      <w:proofErr w:type="spellEnd"/>
      <w:r>
        <w:t xml:space="preserve">), Litoral Norte – </w:t>
      </w:r>
      <w:proofErr w:type="spellStart"/>
      <w:r>
        <w:t>Petorca</w:t>
      </w:r>
      <w:proofErr w:type="spellEnd"/>
      <w:r>
        <w:t xml:space="preserve"> (-11,4 </w:t>
      </w:r>
      <w:proofErr w:type="spellStart"/>
      <w:r>
        <w:t>pp</w:t>
      </w:r>
      <w:proofErr w:type="spellEnd"/>
      <w:r>
        <w:t xml:space="preserve">) y Campana – Peñuelas (-11,3 </w:t>
      </w:r>
      <w:proofErr w:type="spellStart"/>
      <w:r>
        <w:t>pp</w:t>
      </w:r>
      <w:proofErr w:type="spellEnd"/>
      <w:r>
        <w:t>).</w:t>
      </w:r>
    </w:p>
    <w:p w:rsidR="001308C8" w:rsidRDefault="001308C8" w:rsidP="003F5BDE">
      <w:pPr>
        <w:jc w:val="both"/>
        <w:rPr>
          <w:b/>
          <w:sz w:val="26"/>
          <w:szCs w:val="26"/>
        </w:rPr>
      </w:pPr>
    </w:p>
    <w:p w:rsidR="003F5BDE" w:rsidRPr="00905F59" w:rsidRDefault="008B50BC" w:rsidP="003F5BD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F5BDE" w:rsidRPr="00905F59">
        <w:rPr>
          <w:b/>
          <w:sz w:val="26"/>
          <w:szCs w:val="26"/>
        </w:rPr>
        <w:t xml:space="preserve">.- </w:t>
      </w:r>
      <w:r w:rsidR="003F5BDE">
        <w:rPr>
          <w:b/>
          <w:sz w:val="26"/>
          <w:szCs w:val="26"/>
        </w:rPr>
        <w:t>Proyección 2016</w:t>
      </w:r>
    </w:p>
    <w:p w:rsidR="007C06D9" w:rsidRDefault="00502633" w:rsidP="007C06D9">
      <w:pPr>
        <w:jc w:val="both"/>
        <w:rPr>
          <w:lang w:val="es-ES"/>
        </w:rPr>
      </w:pPr>
      <w:r>
        <w:rPr>
          <w:lang w:val="es-ES"/>
        </w:rPr>
        <w:t xml:space="preserve">Las llegadas de turistas extranjeros al país presentan, a marzo de 2016, un incremento de </w:t>
      </w:r>
      <w:r w:rsidRPr="00E5294A">
        <w:rPr>
          <w:lang w:val="es-ES"/>
        </w:rPr>
        <w:t>un 3</w:t>
      </w:r>
      <w:r w:rsidR="00E5294A" w:rsidRPr="00E5294A">
        <w:rPr>
          <w:lang w:val="es-ES"/>
        </w:rPr>
        <w:t>4</w:t>
      </w:r>
      <w:r w:rsidRPr="00E5294A">
        <w:rPr>
          <w:lang w:val="es-ES"/>
        </w:rPr>
        <w:t>,</w:t>
      </w:r>
      <w:r w:rsidR="00E5294A" w:rsidRPr="00E5294A">
        <w:rPr>
          <w:lang w:val="es-ES"/>
        </w:rPr>
        <w:t>8</w:t>
      </w:r>
      <w:r w:rsidRPr="00E5294A">
        <w:rPr>
          <w:lang w:val="es-ES"/>
        </w:rPr>
        <w:t>%,</w:t>
      </w:r>
      <w:r>
        <w:rPr>
          <w:lang w:val="es-ES"/>
        </w:rPr>
        <w:t xml:space="preserve"> registrando todos los meses de este año incrementos sobre el 30% (enero 30,3%, febrero 38,8% y </w:t>
      </w:r>
      <w:r w:rsidRPr="00E5294A">
        <w:rPr>
          <w:lang w:val="es-ES"/>
        </w:rPr>
        <w:t xml:space="preserve">marzo </w:t>
      </w:r>
      <w:r w:rsidR="00E5294A" w:rsidRPr="00E5294A">
        <w:rPr>
          <w:lang w:val="es-ES"/>
        </w:rPr>
        <w:t>37</w:t>
      </w:r>
      <w:r w:rsidRPr="00E5294A">
        <w:rPr>
          <w:lang w:val="es-ES"/>
        </w:rPr>
        <w:t>,</w:t>
      </w:r>
      <w:r w:rsidR="00E5294A" w:rsidRPr="00E5294A">
        <w:rPr>
          <w:lang w:val="es-ES"/>
        </w:rPr>
        <w:t>2</w:t>
      </w:r>
      <w:r w:rsidRPr="00E5294A">
        <w:rPr>
          <w:lang w:val="es-ES"/>
        </w:rPr>
        <w:t>%).</w:t>
      </w:r>
    </w:p>
    <w:p w:rsidR="00502633" w:rsidRDefault="00502633" w:rsidP="007C06D9">
      <w:pPr>
        <w:jc w:val="both"/>
        <w:rPr>
          <w:lang w:val="es-ES"/>
        </w:rPr>
      </w:pPr>
      <w:r>
        <w:rPr>
          <w:lang w:val="es-ES"/>
        </w:rPr>
        <w:t xml:space="preserve">De acuerdo a estimaciones realizadas por la División de Estudios de la Subsecretaría de Turismo, a diciembre de 2016, la llegada total de turistas registrará un incremento de </w:t>
      </w:r>
      <w:r w:rsidR="007337F0">
        <w:rPr>
          <w:lang w:val="es-ES"/>
        </w:rPr>
        <w:t xml:space="preserve">cerca de un 28% </w:t>
      </w:r>
      <w:r w:rsidRPr="007337F0">
        <w:rPr>
          <w:lang w:val="es-ES"/>
        </w:rPr>
        <w:t xml:space="preserve"> respecto al 2015,</w:t>
      </w:r>
      <w:r>
        <w:rPr>
          <w:lang w:val="es-ES"/>
        </w:rPr>
        <w:t xml:space="preserve"> lo que implica pasar de los 4.478.336 turistas a </w:t>
      </w:r>
      <w:r w:rsidR="007337F0">
        <w:rPr>
          <w:lang w:val="es-ES"/>
        </w:rPr>
        <w:t>cerca</w:t>
      </w:r>
      <w:r>
        <w:rPr>
          <w:lang w:val="es-ES"/>
        </w:rPr>
        <w:t xml:space="preserve"> de </w:t>
      </w:r>
      <w:r w:rsidR="007337F0">
        <w:rPr>
          <w:lang w:val="es-ES"/>
        </w:rPr>
        <w:t>5,7</w:t>
      </w:r>
      <w:r w:rsidRPr="007337F0">
        <w:rPr>
          <w:lang w:val="es-ES"/>
        </w:rPr>
        <w:t xml:space="preserve"> millones de turistas.</w:t>
      </w:r>
      <w:r>
        <w:rPr>
          <w:lang w:val="es-ES"/>
        </w:rPr>
        <w:t xml:space="preserve"> </w:t>
      </w:r>
    </w:p>
    <w:p w:rsidR="00502633" w:rsidRDefault="00502633" w:rsidP="007C06D9">
      <w:pPr>
        <w:jc w:val="both"/>
        <w:rPr>
          <w:lang w:val="es-ES"/>
        </w:rPr>
      </w:pPr>
      <w:r>
        <w:rPr>
          <w:lang w:val="es-ES"/>
        </w:rPr>
        <w:t>Este incremento seguirá estando marcado por el aumento en las llegadas de Argentinos, que se estima crecerán</w:t>
      </w:r>
      <w:r w:rsidR="00E5294A">
        <w:rPr>
          <w:lang w:val="es-ES"/>
        </w:rPr>
        <w:t xml:space="preserve"> en</w:t>
      </w:r>
      <w:r>
        <w:rPr>
          <w:lang w:val="es-ES"/>
        </w:rPr>
        <w:t xml:space="preserve"> un </w:t>
      </w:r>
      <w:r w:rsidR="002B271A">
        <w:rPr>
          <w:lang w:val="es-ES"/>
        </w:rPr>
        <w:t>35</w:t>
      </w:r>
      <w:r>
        <w:rPr>
          <w:lang w:val="es-ES"/>
        </w:rPr>
        <w:t>%, llegando a un total de un poco más de 2,</w:t>
      </w:r>
      <w:r w:rsidR="002B271A">
        <w:rPr>
          <w:lang w:val="es-ES"/>
        </w:rPr>
        <w:t>6</w:t>
      </w:r>
      <w:r>
        <w:rPr>
          <w:lang w:val="es-ES"/>
        </w:rPr>
        <w:t xml:space="preserve"> millones de turistas. Por su parte, las llegadas de turistas de Estados Unidos se estima se incrementen en un 1</w:t>
      </w:r>
      <w:r w:rsidR="002B271A">
        <w:rPr>
          <w:lang w:val="es-ES"/>
        </w:rPr>
        <w:t>7</w:t>
      </w:r>
      <w:r>
        <w:rPr>
          <w:lang w:val="es-ES"/>
        </w:rPr>
        <w:t xml:space="preserve">%, totalizando cerca de 220 mil turistas. Por su parte, se espera que la llegada de turistas europeos se incremente en cerca de un 8%, totalizando cerca de 445 mil turistas. Dado el escenario económico de Brasil, se proyecta que los turistas </w:t>
      </w:r>
      <w:r w:rsidR="00736E3F">
        <w:rPr>
          <w:lang w:val="es-ES"/>
        </w:rPr>
        <w:t>brasileros</w:t>
      </w:r>
      <w:r>
        <w:rPr>
          <w:lang w:val="es-ES"/>
        </w:rPr>
        <w:t xml:space="preserve"> sigan r</w:t>
      </w:r>
      <w:r w:rsidR="00736E3F">
        <w:rPr>
          <w:lang w:val="es-ES"/>
        </w:rPr>
        <w:t>educiendo sus llegadas a Chile en un -2</w:t>
      </w:r>
      <w:r w:rsidR="002B271A">
        <w:rPr>
          <w:lang w:val="es-ES"/>
        </w:rPr>
        <w:t>3</w:t>
      </w:r>
      <w:r w:rsidR="00736E3F">
        <w:rPr>
          <w:lang w:val="es-ES"/>
        </w:rPr>
        <w:t>%, con lo cual registrarían cerca de 36</w:t>
      </w:r>
      <w:r w:rsidR="002B271A">
        <w:rPr>
          <w:lang w:val="es-ES"/>
        </w:rPr>
        <w:t>0</w:t>
      </w:r>
      <w:r w:rsidR="00736E3F">
        <w:rPr>
          <w:lang w:val="es-ES"/>
        </w:rPr>
        <w:t xml:space="preserve"> mil llegadas a nuestro país.</w:t>
      </w:r>
    </w:p>
    <w:p w:rsidR="00736E3F" w:rsidRDefault="00736E3F" w:rsidP="007C06D9">
      <w:pPr>
        <w:jc w:val="both"/>
        <w:rPr>
          <w:lang w:val="es-ES"/>
        </w:rPr>
      </w:pPr>
      <w:r>
        <w:rPr>
          <w:lang w:val="es-ES"/>
        </w:rPr>
        <w:t xml:space="preserve">Los resultados a la fecha y las proyecciones son muy positivas y se encuentran por sobre lo que han proyectado las instituciones internacionales para el turismo en el mundo y América Latina en </w:t>
      </w:r>
      <w:r w:rsidR="001308C8">
        <w:rPr>
          <w:lang w:val="es-ES"/>
        </w:rPr>
        <w:t>particular</w:t>
      </w:r>
      <w:r>
        <w:rPr>
          <w:lang w:val="es-ES"/>
        </w:rPr>
        <w:t>.</w:t>
      </w:r>
      <w:r w:rsidR="001308C8">
        <w:rPr>
          <w:lang w:val="es-ES"/>
        </w:rPr>
        <w:t xml:space="preserve"> De hecho, el WTTC declara en su análisis de impacto del turismo en la economía, que todas las regiones van a experimentar un crecimiento en el aporte a la economía el 2016, excepto por América Latina, dado que Brasil</w:t>
      </w:r>
      <w:r w:rsidR="000266C8">
        <w:rPr>
          <w:lang w:val="es-ES"/>
        </w:rPr>
        <w:t xml:space="preserve"> está teniendo problemas y aporta en </w:t>
      </w:r>
      <w:proofErr w:type="spellStart"/>
      <w:r w:rsidR="000266C8">
        <w:rPr>
          <w:lang w:val="es-ES"/>
        </w:rPr>
        <w:t>aprox</w:t>
      </w:r>
      <w:proofErr w:type="spellEnd"/>
      <w:r w:rsidR="000266C8">
        <w:rPr>
          <w:lang w:val="es-ES"/>
        </w:rPr>
        <w:t xml:space="preserve"> un 50% a la región. Sin embargo, señala, la debilidad de Brasil es contrarrestada por el crecimiento robusto que se espera en destinos como Chile.</w:t>
      </w:r>
    </w:p>
    <w:p w:rsidR="000266C8" w:rsidRDefault="000266C8" w:rsidP="007C06D9">
      <w:pPr>
        <w:jc w:val="both"/>
        <w:rPr>
          <w:lang w:val="es-ES"/>
        </w:rPr>
      </w:pPr>
      <w:r>
        <w:rPr>
          <w:lang w:val="es-ES"/>
        </w:rPr>
        <w:t xml:space="preserve">La OMT por su parte señala que las llegadas internacionales a países emergentes tendrán un crecimiento promedio mayor (4,4% entre 2010 y 2030) que las llegadas a los países desarrollados </w:t>
      </w:r>
      <w:r>
        <w:rPr>
          <w:lang w:val="es-ES"/>
        </w:rPr>
        <w:lastRenderedPageBreak/>
        <w:t xml:space="preserve">(2,2% entre 2010 y 2030). Mientras que la proyección de crecimiento promedio en llegadas internacionales a nivel mundial entre el 2010 y el 2030 es de un 3,3%. Los resultados de Chile, hasta ahora, muestran resultados mucho más positivos, y la proyección es que el crecimiento en las llegadas se mantenga, en promedio, por sobre las mejores </w:t>
      </w:r>
      <w:r w:rsidR="002B271A">
        <w:rPr>
          <w:lang w:val="es-ES"/>
        </w:rPr>
        <w:t>proyecciones</w:t>
      </w:r>
      <w:r>
        <w:rPr>
          <w:lang w:val="es-ES"/>
        </w:rPr>
        <w:t xml:space="preserve"> de la OMT.</w:t>
      </w:r>
    </w:p>
    <w:p w:rsidR="00DD42BE" w:rsidRPr="000266C8" w:rsidRDefault="00DD42BE" w:rsidP="00905F59">
      <w:pPr>
        <w:jc w:val="both"/>
      </w:pPr>
    </w:p>
    <w:sectPr w:rsidR="00DD42BE" w:rsidRPr="000266C8" w:rsidSect="00F6134D">
      <w:headerReference w:type="default" r:id="rId7"/>
      <w:footerReference w:type="default" r:id="rId8"/>
      <w:pgSz w:w="12242" w:h="15842" w:code="1"/>
      <w:pgMar w:top="539" w:right="1701" w:bottom="1440" w:left="1701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FC" w:rsidRDefault="002309FC">
      <w:pPr>
        <w:spacing w:after="0" w:line="240" w:lineRule="auto"/>
      </w:pPr>
      <w:r>
        <w:separator/>
      </w:r>
    </w:p>
  </w:endnote>
  <w:endnote w:type="continuationSeparator" w:id="0">
    <w:p w:rsidR="002309FC" w:rsidRDefault="0023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aska">
    <w:altName w:val="Verdana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458074"/>
      <w:docPartObj>
        <w:docPartGallery w:val="Page Numbers (Bottom of Page)"/>
        <w:docPartUnique/>
      </w:docPartObj>
    </w:sdtPr>
    <w:sdtEndPr/>
    <w:sdtContent>
      <w:p w:rsidR="003A46B9" w:rsidRDefault="003A46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41">
          <w:rPr>
            <w:noProof/>
          </w:rPr>
          <w:t>5</w:t>
        </w:r>
        <w:r>
          <w:fldChar w:fldCharType="end"/>
        </w:r>
      </w:p>
    </w:sdtContent>
  </w:sdt>
  <w:p w:rsidR="00EA0A36" w:rsidRDefault="003A46B9" w:rsidP="003A46B9">
    <w:pPr>
      <w:pStyle w:val="Piedepgina"/>
      <w:jc w:val="center"/>
      <w:rPr>
        <w:rFonts w:ascii="Alaska" w:hAnsi="Alaska"/>
        <w:sz w:val="12"/>
      </w:rPr>
    </w:pPr>
    <w:r>
      <w:rPr>
        <w:rFonts w:ascii="Alaska" w:hAnsi="Alaska"/>
        <w:sz w:val="12"/>
      </w:rPr>
      <w:t>DIVISIÓN DE ESTUDIOS</w:t>
    </w:r>
    <w:r w:rsidR="00EA0A36">
      <w:rPr>
        <w:rFonts w:ascii="Alaska" w:hAnsi="Alaska"/>
        <w:sz w:val="12"/>
      </w:rPr>
      <w:t xml:space="preserve"> - SUBSECRETARÍA DE TURISMO </w:t>
    </w:r>
  </w:p>
  <w:p w:rsidR="003A46B9" w:rsidRPr="00285C93" w:rsidRDefault="003A46B9" w:rsidP="003A46B9">
    <w:pPr>
      <w:pStyle w:val="Piedepgina"/>
      <w:jc w:val="center"/>
      <w:rPr>
        <w:rFonts w:ascii="Alaska" w:hAnsi="Alaska"/>
        <w:sz w:val="12"/>
      </w:rPr>
    </w:pPr>
    <w:r w:rsidRPr="00285C93">
      <w:rPr>
        <w:rFonts w:ascii="Alaska" w:hAnsi="Alaska"/>
        <w:sz w:val="12"/>
      </w:rPr>
      <w:t>AVDA. LIBERTADOR  BERNARDO O’HIGGINS 1449, TORRE II, PISO 1</w:t>
    </w:r>
    <w:r>
      <w:rPr>
        <w:rFonts w:ascii="Alaska" w:hAnsi="Alaska"/>
        <w:sz w:val="12"/>
      </w:rPr>
      <w:t>0</w:t>
    </w:r>
  </w:p>
  <w:p w:rsidR="00F6134D" w:rsidRPr="00DC6620" w:rsidRDefault="00EA0A36" w:rsidP="003A46B9">
    <w:pPr>
      <w:pStyle w:val="Piedepgina"/>
      <w:jc w:val="center"/>
      <w:rPr>
        <w:rFonts w:ascii="Alaska" w:hAnsi="Alaska"/>
        <w:sz w:val="12"/>
        <w:lang w:val="en-US"/>
      </w:rPr>
    </w:pPr>
    <w:r>
      <w:rPr>
        <w:rFonts w:ascii="Alaska" w:hAnsi="Alaska"/>
        <w:sz w:val="12"/>
        <w:lang w:val="en-US"/>
      </w:rPr>
      <w:t xml:space="preserve">F: +56 2 2473 3629 </w:t>
    </w:r>
    <w:hyperlink r:id="rId1" w:history="1">
      <w:r w:rsidR="003A46B9" w:rsidRPr="005018A6">
        <w:rPr>
          <w:rStyle w:val="Hipervnculo"/>
          <w:rFonts w:ascii="Alaska" w:hAnsi="Alaska"/>
          <w:sz w:val="12"/>
          <w:lang w:val="en-US"/>
        </w:rPr>
        <w:t>www.subturismo.gob.cl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FC" w:rsidRDefault="002309FC">
      <w:pPr>
        <w:spacing w:after="0" w:line="240" w:lineRule="auto"/>
      </w:pPr>
      <w:r>
        <w:separator/>
      </w:r>
    </w:p>
  </w:footnote>
  <w:footnote w:type="continuationSeparator" w:id="0">
    <w:p w:rsidR="002309FC" w:rsidRDefault="002309FC">
      <w:pPr>
        <w:spacing w:after="0" w:line="240" w:lineRule="auto"/>
      </w:pPr>
      <w:r>
        <w:continuationSeparator/>
      </w:r>
    </w:p>
  </w:footnote>
  <w:footnote w:id="1">
    <w:p w:rsidR="00B26648" w:rsidRDefault="00B26648" w:rsidP="00B26648">
      <w:pPr>
        <w:pStyle w:val="Textonotapie"/>
      </w:pPr>
      <w:r>
        <w:rPr>
          <w:rStyle w:val="Refdenotaalpie"/>
        </w:rPr>
        <w:footnoteRef/>
      </w:r>
      <w:r>
        <w:t xml:space="preserve"> Alimentación, Transporte, Servicios automotrices y combustibles, Compras, Actividades turísticas y entretención, Hoteles y Otros consumos y servicios.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4D" w:rsidRDefault="007D4F6D">
    <w:pPr>
      <w:pStyle w:val="Encabezado"/>
      <w:tabs>
        <w:tab w:val="clear" w:pos="4252"/>
        <w:tab w:val="clear" w:pos="8504"/>
        <w:tab w:val="left" w:pos="7088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1" locked="0" layoutInCell="1" allowOverlap="1" wp14:anchorId="57B1BF52" wp14:editId="59059503">
          <wp:simplePos x="0" y="0"/>
          <wp:positionH relativeFrom="column">
            <wp:posOffset>-175260</wp:posOffset>
          </wp:positionH>
          <wp:positionV relativeFrom="paragraph">
            <wp:posOffset>180975</wp:posOffset>
          </wp:positionV>
          <wp:extent cx="1104900" cy="1022032"/>
          <wp:effectExtent l="0" t="0" r="0" b="6985"/>
          <wp:wrapNone/>
          <wp:docPr id="4" name="Imagen 3" descr="v3_Subsecretaria de Turismo_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3_Subsecretaria de Turismo_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62" cy="1031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134D" w:rsidRDefault="00AA74D0">
    <w:pPr>
      <w:pStyle w:val="Encabezado"/>
      <w:rPr>
        <w:lang w:val="es-CL"/>
      </w:rPr>
    </w:pPr>
    <w:r w:rsidRPr="00AA74D0">
      <w:rPr>
        <w:rFonts w:ascii="Times" w:hAnsi="Times"/>
        <w:i/>
        <w:noProof/>
        <w:color w:val="808080"/>
        <w:sz w:val="22"/>
        <w:szCs w:val="22"/>
        <w:lang w:val="es-CL"/>
      </w:rPr>
      <w:drawing>
        <wp:anchor distT="0" distB="0" distL="114300" distR="114300" simplePos="0" relativeHeight="251659264" behindDoc="0" locked="0" layoutInCell="1" allowOverlap="1" wp14:anchorId="55FA289C" wp14:editId="78F4CF2C">
          <wp:simplePos x="0" y="0"/>
          <wp:positionH relativeFrom="column">
            <wp:posOffset>4739640</wp:posOffset>
          </wp:positionH>
          <wp:positionV relativeFrom="paragraph">
            <wp:posOffset>130175</wp:posOffset>
          </wp:positionV>
          <wp:extent cx="876300" cy="795721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4F6D">
      <w:rPr>
        <w:noProof/>
        <w:lang w:val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450491" wp14:editId="0BCD170E">
              <wp:simplePos x="0" y="0"/>
              <wp:positionH relativeFrom="column">
                <wp:posOffset>3200400</wp:posOffset>
              </wp:positionH>
              <wp:positionV relativeFrom="paragraph">
                <wp:posOffset>85090</wp:posOffset>
              </wp:positionV>
              <wp:extent cx="2190115" cy="414655"/>
              <wp:effectExtent l="3810" t="2540" r="0" b="1905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34D" w:rsidRDefault="00F6134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504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pt;margin-top:6.7pt;width:172.45pt;height: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V3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" filled="f" stroked="f">
              <v:textbox style="mso-fit-shape-to-text:t">
                <w:txbxContent>
                  <w:p w:rsidR="00F6134D" w:rsidRDefault="00F6134D"/>
                </w:txbxContent>
              </v:textbox>
              <w10:wrap type="square"/>
            </v:shape>
          </w:pict>
        </mc:Fallback>
      </mc:AlternateContent>
    </w: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8356B2" w:rsidP="008356B2">
    <w:pPr>
      <w:pStyle w:val="Encabezado"/>
      <w:tabs>
        <w:tab w:val="left" w:pos="480"/>
        <w:tab w:val="left" w:pos="7655"/>
      </w:tabs>
      <w:ind w:left="-426" w:right="-232"/>
      <w:rPr>
        <w:rFonts w:ascii="Times" w:hAnsi="Times"/>
        <w:i/>
        <w:color w:val="808080"/>
        <w:sz w:val="22"/>
        <w:szCs w:val="22"/>
      </w:rPr>
    </w:pPr>
    <w:r>
      <w:rPr>
        <w:rFonts w:ascii="Times" w:hAnsi="Times"/>
        <w:i/>
        <w:color w:val="808080"/>
        <w:sz w:val="22"/>
        <w:szCs w:val="22"/>
      </w:rPr>
      <w:tab/>
    </w: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DC6620" w:rsidRDefault="00DC6620" w:rsidP="00DC6620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5B7"/>
    <w:multiLevelType w:val="hybridMultilevel"/>
    <w:tmpl w:val="B71E7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2333"/>
    <w:multiLevelType w:val="hybridMultilevel"/>
    <w:tmpl w:val="2D7661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4B54"/>
    <w:multiLevelType w:val="hybridMultilevel"/>
    <w:tmpl w:val="117AFC06"/>
    <w:lvl w:ilvl="0" w:tplc="2050DC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A1BC5"/>
    <w:multiLevelType w:val="hybridMultilevel"/>
    <w:tmpl w:val="6158FA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D56AF"/>
    <w:multiLevelType w:val="hybridMultilevel"/>
    <w:tmpl w:val="9F888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56F1"/>
    <w:multiLevelType w:val="hybridMultilevel"/>
    <w:tmpl w:val="643E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632C"/>
    <w:multiLevelType w:val="hybridMultilevel"/>
    <w:tmpl w:val="B248038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6966"/>
    <w:multiLevelType w:val="hybridMultilevel"/>
    <w:tmpl w:val="684EF0E6"/>
    <w:lvl w:ilvl="0" w:tplc="340A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296847D9"/>
    <w:multiLevelType w:val="hybridMultilevel"/>
    <w:tmpl w:val="29D659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39A5"/>
    <w:multiLevelType w:val="hybridMultilevel"/>
    <w:tmpl w:val="44CA819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0D56"/>
    <w:multiLevelType w:val="hybridMultilevel"/>
    <w:tmpl w:val="9D3A6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21E5"/>
    <w:multiLevelType w:val="hybridMultilevel"/>
    <w:tmpl w:val="FE3CE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53AED"/>
    <w:multiLevelType w:val="hybridMultilevel"/>
    <w:tmpl w:val="B352CF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61B9"/>
    <w:multiLevelType w:val="hybridMultilevel"/>
    <w:tmpl w:val="25128204"/>
    <w:lvl w:ilvl="0" w:tplc="FE50E5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326A8"/>
    <w:multiLevelType w:val="hybridMultilevel"/>
    <w:tmpl w:val="87426B5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73412"/>
    <w:multiLevelType w:val="hybridMultilevel"/>
    <w:tmpl w:val="CB667EE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E380D"/>
    <w:multiLevelType w:val="hybridMultilevel"/>
    <w:tmpl w:val="1644860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EC62B4"/>
    <w:multiLevelType w:val="hybridMultilevel"/>
    <w:tmpl w:val="A906CAB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B1614"/>
    <w:multiLevelType w:val="hybridMultilevel"/>
    <w:tmpl w:val="CB5891E0"/>
    <w:lvl w:ilvl="0" w:tplc="98DEFE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3C21DEF"/>
    <w:multiLevelType w:val="hybridMultilevel"/>
    <w:tmpl w:val="C8F4BCE2"/>
    <w:lvl w:ilvl="0" w:tplc="DD9C5E5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C4E21"/>
    <w:multiLevelType w:val="hybridMultilevel"/>
    <w:tmpl w:val="CAAE342E"/>
    <w:lvl w:ilvl="0" w:tplc="BD0C260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6064D"/>
    <w:multiLevelType w:val="hybridMultilevel"/>
    <w:tmpl w:val="52C01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259BE"/>
    <w:multiLevelType w:val="hybridMultilevel"/>
    <w:tmpl w:val="1E7C018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2"/>
  </w:num>
  <w:num w:numId="5">
    <w:abstractNumId w:val="18"/>
  </w:num>
  <w:num w:numId="6">
    <w:abstractNumId w:val="6"/>
  </w:num>
  <w:num w:numId="7">
    <w:abstractNumId w:val="17"/>
  </w:num>
  <w:num w:numId="8">
    <w:abstractNumId w:val="9"/>
  </w:num>
  <w:num w:numId="9">
    <w:abstractNumId w:val="22"/>
  </w:num>
  <w:num w:numId="10">
    <w:abstractNumId w:val="14"/>
  </w:num>
  <w:num w:numId="11">
    <w:abstractNumId w:val="15"/>
  </w:num>
  <w:num w:numId="12">
    <w:abstractNumId w:val="0"/>
  </w:num>
  <w:num w:numId="13">
    <w:abstractNumId w:val="10"/>
  </w:num>
  <w:num w:numId="14">
    <w:abstractNumId w:val="11"/>
  </w:num>
  <w:num w:numId="15">
    <w:abstractNumId w:val="3"/>
  </w:num>
  <w:num w:numId="16">
    <w:abstractNumId w:val="21"/>
  </w:num>
  <w:num w:numId="17">
    <w:abstractNumId w:val="7"/>
  </w:num>
  <w:num w:numId="18">
    <w:abstractNumId w:val="1"/>
  </w:num>
  <w:num w:numId="19">
    <w:abstractNumId w:val="8"/>
  </w:num>
  <w:num w:numId="20">
    <w:abstractNumId w:val="4"/>
  </w:num>
  <w:num w:numId="21">
    <w:abstractNumId w:val="16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4D"/>
    <w:rsid w:val="0002312C"/>
    <w:rsid w:val="000266C8"/>
    <w:rsid w:val="000A65CD"/>
    <w:rsid w:val="001308C8"/>
    <w:rsid w:val="001603E9"/>
    <w:rsid w:val="001C2050"/>
    <w:rsid w:val="001D62C5"/>
    <w:rsid w:val="002106E0"/>
    <w:rsid w:val="002309FC"/>
    <w:rsid w:val="00230C3A"/>
    <w:rsid w:val="00232CBF"/>
    <w:rsid w:val="002331FE"/>
    <w:rsid w:val="00241A6B"/>
    <w:rsid w:val="0026227B"/>
    <w:rsid w:val="002B271A"/>
    <w:rsid w:val="003163FC"/>
    <w:rsid w:val="003976BC"/>
    <w:rsid w:val="003A46B9"/>
    <w:rsid w:val="003E4C5C"/>
    <w:rsid w:val="003F5BDE"/>
    <w:rsid w:val="004270CC"/>
    <w:rsid w:val="00440252"/>
    <w:rsid w:val="00456664"/>
    <w:rsid w:val="00460FFD"/>
    <w:rsid w:val="00477A4C"/>
    <w:rsid w:val="004B2E51"/>
    <w:rsid w:val="00502633"/>
    <w:rsid w:val="0051590F"/>
    <w:rsid w:val="005552BC"/>
    <w:rsid w:val="005901E3"/>
    <w:rsid w:val="005A3C40"/>
    <w:rsid w:val="005E1B0D"/>
    <w:rsid w:val="005F4F44"/>
    <w:rsid w:val="00623061"/>
    <w:rsid w:val="00642DE0"/>
    <w:rsid w:val="006E5F67"/>
    <w:rsid w:val="006F302D"/>
    <w:rsid w:val="007337F0"/>
    <w:rsid w:val="00736E3F"/>
    <w:rsid w:val="00744685"/>
    <w:rsid w:val="0078493F"/>
    <w:rsid w:val="007C06D9"/>
    <w:rsid w:val="007D4F6D"/>
    <w:rsid w:val="007D6606"/>
    <w:rsid w:val="00821C0D"/>
    <w:rsid w:val="00830A62"/>
    <w:rsid w:val="008356B2"/>
    <w:rsid w:val="00837468"/>
    <w:rsid w:val="00871272"/>
    <w:rsid w:val="008B50BC"/>
    <w:rsid w:val="00905F59"/>
    <w:rsid w:val="009369AB"/>
    <w:rsid w:val="00951F41"/>
    <w:rsid w:val="0095760D"/>
    <w:rsid w:val="0097196E"/>
    <w:rsid w:val="0098733E"/>
    <w:rsid w:val="009A324B"/>
    <w:rsid w:val="009A7CC9"/>
    <w:rsid w:val="009C03CE"/>
    <w:rsid w:val="009E5C95"/>
    <w:rsid w:val="00A16269"/>
    <w:rsid w:val="00A24139"/>
    <w:rsid w:val="00A92C7A"/>
    <w:rsid w:val="00AA3E58"/>
    <w:rsid w:val="00AA74D0"/>
    <w:rsid w:val="00AC0B15"/>
    <w:rsid w:val="00B26648"/>
    <w:rsid w:val="00B366E1"/>
    <w:rsid w:val="00B36CFD"/>
    <w:rsid w:val="00B74E6E"/>
    <w:rsid w:val="00B961FB"/>
    <w:rsid w:val="00BD0E82"/>
    <w:rsid w:val="00BD7F1A"/>
    <w:rsid w:val="00BE19BD"/>
    <w:rsid w:val="00BE5DA9"/>
    <w:rsid w:val="00BF134F"/>
    <w:rsid w:val="00C33635"/>
    <w:rsid w:val="00C44237"/>
    <w:rsid w:val="00C508AC"/>
    <w:rsid w:val="00C87DDB"/>
    <w:rsid w:val="00CB6557"/>
    <w:rsid w:val="00CD6F45"/>
    <w:rsid w:val="00CD7953"/>
    <w:rsid w:val="00CE1D10"/>
    <w:rsid w:val="00CF500C"/>
    <w:rsid w:val="00D270CE"/>
    <w:rsid w:val="00D441C3"/>
    <w:rsid w:val="00D455C1"/>
    <w:rsid w:val="00D665CD"/>
    <w:rsid w:val="00D75E9B"/>
    <w:rsid w:val="00DC6620"/>
    <w:rsid w:val="00DD1D1A"/>
    <w:rsid w:val="00DD42BE"/>
    <w:rsid w:val="00E5294A"/>
    <w:rsid w:val="00E53B3E"/>
    <w:rsid w:val="00E5612F"/>
    <w:rsid w:val="00E73BAD"/>
    <w:rsid w:val="00E96EEC"/>
    <w:rsid w:val="00EA0A36"/>
    <w:rsid w:val="00ED51B7"/>
    <w:rsid w:val="00EF6DAE"/>
    <w:rsid w:val="00F52131"/>
    <w:rsid w:val="00F603A4"/>
    <w:rsid w:val="00F6134D"/>
    <w:rsid w:val="00F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7DB080C-9729-4033-A1D4-9C6EF201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27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6134D"/>
    <w:pPr>
      <w:keepNext/>
      <w:spacing w:after="0" w:line="240" w:lineRule="auto"/>
      <w:ind w:left="4536"/>
      <w:jc w:val="both"/>
      <w:outlineLvl w:val="1"/>
    </w:pPr>
    <w:rPr>
      <w:rFonts w:ascii="Times New Roman" w:eastAsia="Times New Roman" w:hAnsi="Times New Roman"/>
      <w:sz w:val="24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F6134D"/>
    <w:rPr>
      <w:rFonts w:ascii="Times New Roman" w:eastAsia="Times New Roman" w:hAnsi="Times New Roman"/>
      <w:sz w:val="24"/>
      <w:lang w:val="es-ES"/>
    </w:rPr>
  </w:style>
  <w:style w:type="paragraph" w:styleId="Encabezado">
    <w:name w:val="header"/>
    <w:basedOn w:val="Normal"/>
    <w:link w:val="EncabezadoCar"/>
    <w:rsid w:val="00F613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CL"/>
    </w:rPr>
  </w:style>
  <w:style w:type="character" w:customStyle="1" w:styleId="EncabezadoCar">
    <w:name w:val="Encabezado Car"/>
    <w:link w:val="Encabezado"/>
    <w:rsid w:val="00F6134D"/>
    <w:rPr>
      <w:rFonts w:ascii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F613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CL"/>
    </w:rPr>
  </w:style>
  <w:style w:type="character" w:customStyle="1" w:styleId="PiedepginaCar">
    <w:name w:val="Pie de página Car"/>
    <w:link w:val="Piedepgina"/>
    <w:uiPriority w:val="99"/>
    <w:rsid w:val="00F6134D"/>
    <w:rPr>
      <w:rFonts w:ascii="Times New Roman" w:eastAsia="Times New Roman" w:hAnsi="Times New Roman"/>
      <w:lang w:val="es-ES"/>
    </w:rPr>
  </w:style>
  <w:style w:type="character" w:styleId="Hipervnculo">
    <w:name w:val="Hyperlink"/>
    <w:rsid w:val="00F6134D"/>
    <w:rPr>
      <w:color w:val="0000FF"/>
      <w:u w:val="single"/>
    </w:rPr>
  </w:style>
  <w:style w:type="character" w:customStyle="1" w:styleId="dzaror">
    <w:name w:val="dzaror"/>
    <w:semiHidden/>
    <w:rsid w:val="00F6134D"/>
    <w:rPr>
      <w:rFonts w:ascii="Arial" w:hAnsi="Arial" w:cs="Arial"/>
      <w:color w:val="00008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44685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7D4F6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4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styleId="nfasis">
    <w:name w:val="Emphasis"/>
    <w:uiPriority w:val="20"/>
    <w:qFormat/>
    <w:rsid w:val="007D4F6D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5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51B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D51B7"/>
    <w:rPr>
      <w:vertAlign w:val="superscript"/>
    </w:rPr>
  </w:style>
  <w:style w:type="paragraph" w:customStyle="1" w:styleId="BodySingle">
    <w:name w:val="Body Single"/>
    <w:basedOn w:val="Textoindependiente"/>
    <w:link w:val="BodySingleChar"/>
    <w:uiPriority w:val="99"/>
    <w:rsid w:val="004270CC"/>
    <w:pPr>
      <w:spacing w:after="0" w:line="260" w:lineRule="atLeast"/>
    </w:pPr>
    <w:rPr>
      <w:rFonts w:ascii="Georgia" w:eastAsia="Times New Roman" w:hAnsi="Georgia"/>
      <w:sz w:val="20"/>
      <w:szCs w:val="20"/>
      <w:lang w:val="en-GB"/>
    </w:rPr>
  </w:style>
  <w:style w:type="character" w:customStyle="1" w:styleId="BodySingleChar">
    <w:name w:val="Body Single Char"/>
    <w:link w:val="BodySingle"/>
    <w:uiPriority w:val="99"/>
    <w:locked/>
    <w:rsid w:val="004270CC"/>
    <w:rPr>
      <w:rFonts w:ascii="Georgia" w:eastAsia="Times New Roman" w:hAnsi="Georgia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70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70CC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270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turismo.gob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1538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9981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http://www.subturismo.gob.cl/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Retamales</dc:creator>
  <cp:keywords/>
  <cp:lastModifiedBy>Verónica Ilse Kunze Neubauer</cp:lastModifiedBy>
  <cp:revision>4</cp:revision>
  <cp:lastPrinted>2015-09-23T19:13:00Z</cp:lastPrinted>
  <dcterms:created xsi:type="dcterms:W3CDTF">2016-04-01T13:41:00Z</dcterms:created>
  <dcterms:modified xsi:type="dcterms:W3CDTF">2016-04-01T19:24:00Z</dcterms:modified>
</cp:coreProperties>
</file>