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D4E" w:rsidRDefault="00421D4E" w:rsidP="00421D4E">
      <w:pPr>
        <w:spacing w:after="0"/>
        <w:jc w:val="center"/>
        <w:rPr>
          <w:b/>
          <w:sz w:val="24"/>
          <w:szCs w:val="24"/>
        </w:rPr>
      </w:pPr>
    </w:p>
    <w:p w:rsidR="006A04E8" w:rsidRPr="006A04E8" w:rsidRDefault="006A04E8" w:rsidP="00421D4E">
      <w:pPr>
        <w:spacing w:after="0"/>
        <w:jc w:val="center"/>
        <w:rPr>
          <w:b/>
          <w:sz w:val="28"/>
          <w:szCs w:val="28"/>
        </w:rPr>
      </w:pPr>
      <w:r w:rsidRPr="006A04E8">
        <w:rPr>
          <w:b/>
          <w:sz w:val="28"/>
          <w:szCs w:val="28"/>
        </w:rPr>
        <w:t>Minuta</w:t>
      </w:r>
    </w:p>
    <w:p w:rsidR="00421D4E" w:rsidRPr="006A04E8" w:rsidRDefault="006A04E8" w:rsidP="00421D4E">
      <w:pPr>
        <w:spacing w:after="0"/>
        <w:jc w:val="center"/>
        <w:rPr>
          <w:b/>
          <w:sz w:val="28"/>
          <w:szCs w:val="28"/>
        </w:rPr>
      </w:pPr>
      <w:r w:rsidRPr="006A04E8">
        <w:rPr>
          <w:b/>
          <w:sz w:val="28"/>
          <w:szCs w:val="28"/>
        </w:rPr>
        <w:t>Víctimas extranjeras</w:t>
      </w:r>
    </w:p>
    <w:p w:rsidR="006A04E8" w:rsidRDefault="006A04E8" w:rsidP="00421D4E">
      <w:pPr>
        <w:spacing w:after="0"/>
        <w:jc w:val="center"/>
        <w:rPr>
          <w:b/>
          <w:sz w:val="24"/>
          <w:szCs w:val="24"/>
        </w:rPr>
      </w:pPr>
      <w:r>
        <w:rPr>
          <w:b/>
          <w:sz w:val="24"/>
          <w:szCs w:val="24"/>
        </w:rPr>
        <w:t>(Delitos de Mayor Connotación Social</w:t>
      </w:r>
      <w:r w:rsidR="00785000">
        <w:rPr>
          <w:b/>
          <w:sz w:val="24"/>
          <w:szCs w:val="24"/>
        </w:rPr>
        <w:t>, DMCS</w:t>
      </w:r>
      <w:bookmarkStart w:id="0" w:name="_GoBack"/>
      <w:bookmarkEnd w:id="0"/>
      <w:r>
        <w:rPr>
          <w:b/>
          <w:sz w:val="24"/>
          <w:szCs w:val="24"/>
        </w:rPr>
        <w:t>)</w:t>
      </w:r>
    </w:p>
    <w:p w:rsidR="00421D4E" w:rsidRDefault="00421D4E" w:rsidP="006A04E8">
      <w:pPr>
        <w:jc w:val="both"/>
        <w:rPr>
          <w:sz w:val="24"/>
          <w:szCs w:val="24"/>
        </w:rPr>
      </w:pPr>
    </w:p>
    <w:p w:rsidR="006A04E8" w:rsidRDefault="006A04E8" w:rsidP="006A04E8">
      <w:pPr>
        <w:pStyle w:val="Prrafodelista"/>
        <w:numPr>
          <w:ilvl w:val="0"/>
          <w:numId w:val="21"/>
        </w:numPr>
        <w:jc w:val="both"/>
        <w:rPr>
          <w:b/>
          <w:sz w:val="24"/>
          <w:szCs w:val="24"/>
        </w:rPr>
      </w:pPr>
      <w:r w:rsidRPr="006A04E8">
        <w:rPr>
          <w:b/>
          <w:sz w:val="24"/>
          <w:szCs w:val="24"/>
        </w:rPr>
        <w:t>Antecedentes</w:t>
      </w:r>
    </w:p>
    <w:p w:rsidR="00F118B1" w:rsidRDefault="00F118B1" w:rsidP="00F118B1">
      <w:pPr>
        <w:pStyle w:val="Prrafodelista"/>
        <w:ind w:left="1080"/>
        <w:jc w:val="both"/>
        <w:rPr>
          <w:b/>
          <w:sz w:val="24"/>
          <w:szCs w:val="24"/>
        </w:rPr>
      </w:pPr>
    </w:p>
    <w:p w:rsidR="006A04E8" w:rsidRDefault="006A04E8" w:rsidP="006A04E8">
      <w:pPr>
        <w:pStyle w:val="Prrafodelista"/>
        <w:numPr>
          <w:ilvl w:val="0"/>
          <w:numId w:val="22"/>
        </w:numPr>
        <w:jc w:val="both"/>
      </w:pPr>
      <w:r w:rsidRPr="006A04E8">
        <w:t>La presente minuta se ha elaborado con información propia e información enviada por el Centro de Estudios y An</w:t>
      </w:r>
      <w:r>
        <w:t>álisis del Delito de la Subsecretaría de Prevención del Delito, del Ministerio del Interior y Seguridad Pública.</w:t>
      </w:r>
    </w:p>
    <w:p w:rsidR="006A04E8" w:rsidRPr="006A04E8" w:rsidRDefault="006A04E8" w:rsidP="006A04E8">
      <w:pPr>
        <w:pStyle w:val="Prrafodelista"/>
        <w:numPr>
          <w:ilvl w:val="0"/>
          <w:numId w:val="22"/>
        </w:numPr>
        <w:jc w:val="both"/>
      </w:pPr>
      <w:r>
        <w:t xml:space="preserve">Los datos de víctimas </w:t>
      </w:r>
      <w:r w:rsidRPr="006A04E8">
        <w:rPr>
          <w:rFonts w:asciiTheme="minorHAnsi" w:hAnsiTheme="minorHAnsi" w:cs="Arial"/>
        </w:rPr>
        <w:t>extranjeras de delitos de mayor connotación social</w:t>
      </w:r>
      <w:r w:rsidR="00C67CBD">
        <w:rPr>
          <w:rFonts w:asciiTheme="minorHAnsi" w:hAnsiTheme="minorHAnsi" w:cs="Arial"/>
        </w:rPr>
        <w:t xml:space="preserve"> (DMCS)</w:t>
      </w:r>
      <w:r w:rsidRPr="006A04E8">
        <w:rPr>
          <w:rFonts w:asciiTheme="minorHAnsi" w:hAnsiTheme="minorHAnsi" w:cs="Arial"/>
        </w:rPr>
        <w:t xml:space="preserve">, </w:t>
      </w:r>
      <w:r>
        <w:rPr>
          <w:rFonts w:asciiTheme="minorHAnsi" w:hAnsiTheme="minorHAnsi" w:cs="Arial"/>
        </w:rPr>
        <w:t>la obtiene la Subsecretaría de Prevención del Delito</w:t>
      </w:r>
      <w:r w:rsidRPr="006A04E8">
        <w:rPr>
          <w:rFonts w:asciiTheme="minorHAnsi" w:hAnsiTheme="minorHAnsi" w:cs="Arial"/>
        </w:rPr>
        <w:t xml:space="preserve"> de los casos policiales disponibles de la base AUPOL de Carabineros de Chile. </w:t>
      </w:r>
    </w:p>
    <w:p w:rsidR="00882ACD" w:rsidRPr="00882ACD" w:rsidRDefault="006A04E8" w:rsidP="00882ACD">
      <w:pPr>
        <w:pStyle w:val="Prrafodelista"/>
        <w:numPr>
          <w:ilvl w:val="0"/>
          <w:numId w:val="22"/>
        </w:numPr>
        <w:jc w:val="both"/>
      </w:pPr>
      <w:r>
        <w:rPr>
          <w:rFonts w:asciiTheme="minorHAnsi" w:hAnsiTheme="minorHAnsi" w:cs="Arial"/>
        </w:rPr>
        <w:t>La información de los turistas proviene de la elaboración propia de la División de Estudios de la Subsecretaría de Turismo</w:t>
      </w:r>
      <w:r w:rsidR="00882ACD">
        <w:rPr>
          <w:rFonts w:asciiTheme="minorHAnsi" w:hAnsiTheme="minorHAnsi" w:cs="Arial"/>
        </w:rPr>
        <w:t xml:space="preserve">, en base a información de la </w:t>
      </w:r>
      <w:r w:rsidR="00882ACD" w:rsidRPr="00882ACD">
        <w:rPr>
          <w:rFonts w:asciiTheme="minorHAnsi" w:hAnsiTheme="minorHAnsi" w:cs="Arial"/>
        </w:rPr>
        <w:t>Jefatura Nacional de Extranjería y Policía Internacional de Chile; y Carabineros de Chile (OS3)</w:t>
      </w:r>
      <w:r w:rsidR="00882ACD">
        <w:rPr>
          <w:rFonts w:asciiTheme="minorHAnsi" w:hAnsiTheme="minorHAnsi" w:cs="Arial"/>
        </w:rPr>
        <w:t>.</w:t>
      </w:r>
    </w:p>
    <w:p w:rsidR="006A04E8" w:rsidRPr="006A04E8" w:rsidRDefault="00882ACD" w:rsidP="00882ACD">
      <w:pPr>
        <w:pStyle w:val="Prrafodelista"/>
        <w:numPr>
          <w:ilvl w:val="0"/>
          <w:numId w:val="22"/>
        </w:numPr>
        <w:jc w:val="both"/>
      </w:pPr>
      <w:r>
        <w:rPr>
          <w:rFonts w:asciiTheme="minorHAnsi" w:hAnsiTheme="minorHAnsi" w:cs="Arial"/>
        </w:rPr>
        <w:t>Cabe señalar, que en el caso de información de la Subsecretaría de Prevención del Delito, se considera a extranjeros, no acotando a turistas.</w:t>
      </w:r>
    </w:p>
    <w:p w:rsidR="006A04E8" w:rsidRDefault="006A04E8" w:rsidP="00882ACD">
      <w:pPr>
        <w:ind w:left="360"/>
        <w:jc w:val="both"/>
      </w:pPr>
    </w:p>
    <w:p w:rsidR="00F118B1" w:rsidRDefault="007309D3" w:rsidP="00F118B1">
      <w:pPr>
        <w:pStyle w:val="Prrafodelista"/>
        <w:numPr>
          <w:ilvl w:val="0"/>
          <w:numId w:val="21"/>
        </w:numPr>
        <w:jc w:val="both"/>
        <w:rPr>
          <w:b/>
          <w:sz w:val="24"/>
          <w:szCs w:val="24"/>
        </w:rPr>
      </w:pPr>
      <w:r>
        <w:rPr>
          <w:b/>
          <w:sz w:val="24"/>
          <w:szCs w:val="24"/>
        </w:rPr>
        <w:t>Víctimas extranjeras de DMCS</w:t>
      </w:r>
    </w:p>
    <w:p w:rsidR="00F118B1" w:rsidRPr="006A04E8" w:rsidRDefault="00F118B1" w:rsidP="00F118B1">
      <w:pPr>
        <w:pStyle w:val="Prrafodelista"/>
        <w:ind w:left="1080"/>
        <w:jc w:val="both"/>
        <w:rPr>
          <w:b/>
          <w:sz w:val="24"/>
          <w:szCs w:val="24"/>
        </w:rPr>
      </w:pPr>
    </w:p>
    <w:p w:rsidR="00BE3F64" w:rsidRDefault="00F118B1" w:rsidP="009A7CF2">
      <w:pPr>
        <w:pStyle w:val="Prrafodelista"/>
        <w:numPr>
          <w:ilvl w:val="0"/>
          <w:numId w:val="22"/>
        </w:numPr>
        <w:spacing w:line="252" w:lineRule="auto"/>
        <w:jc w:val="both"/>
        <w:rPr>
          <w:rFonts w:asciiTheme="minorHAnsi" w:hAnsiTheme="minorHAnsi" w:cs="Arial"/>
        </w:rPr>
      </w:pPr>
      <w:r w:rsidRPr="00F118B1">
        <w:rPr>
          <w:rFonts w:asciiTheme="minorHAnsi" w:hAnsiTheme="minorHAnsi" w:cs="Arial"/>
        </w:rPr>
        <w:t>Durante el año 2015 se registr</w:t>
      </w:r>
      <w:r w:rsidRPr="00F118B1">
        <w:rPr>
          <w:rFonts w:asciiTheme="minorHAnsi" w:hAnsiTheme="minorHAnsi" w:cs="Arial"/>
        </w:rPr>
        <w:t>ó</w:t>
      </w:r>
      <w:r w:rsidRPr="00F118B1">
        <w:rPr>
          <w:rFonts w:asciiTheme="minorHAnsi" w:hAnsiTheme="minorHAnsi" w:cs="Arial"/>
        </w:rPr>
        <w:t xml:space="preserve"> un total de 18.215 personas extranjeras víctimas de algún delito de mayor connotación social lo que representa un aumento del 15,2% en comparación al 2014. </w:t>
      </w:r>
      <w:r w:rsidR="00BE3F64">
        <w:rPr>
          <w:rFonts w:asciiTheme="minorHAnsi" w:hAnsiTheme="minorHAnsi" w:cs="Arial"/>
        </w:rPr>
        <w:t>Este aumento ha sido el mayor en los últimos 4 años, ya que el 2014 aumentó un 10,2% respecto al 2013, el 2013 un 13,2% respecto al 2012 y el 2012 y</w:t>
      </w:r>
      <w:r w:rsidR="00C67CBD">
        <w:rPr>
          <w:rFonts w:asciiTheme="minorHAnsi" w:hAnsiTheme="minorHAnsi" w:cs="Arial"/>
        </w:rPr>
        <w:t xml:space="preserve"> u</w:t>
      </w:r>
      <w:r w:rsidR="00BE3F64">
        <w:rPr>
          <w:rFonts w:asciiTheme="minorHAnsi" w:hAnsiTheme="minorHAnsi" w:cs="Arial"/>
        </w:rPr>
        <w:t>n 8,8% respecto al 2011.</w:t>
      </w:r>
    </w:p>
    <w:p w:rsidR="00BE3F64" w:rsidRDefault="00BE3F64" w:rsidP="00BE3F64">
      <w:pPr>
        <w:pStyle w:val="Prrafodelista"/>
        <w:spacing w:line="252" w:lineRule="auto"/>
        <w:jc w:val="both"/>
        <w:rPr>
          <w:rFonts w:asciiTheme="minorHAnsi" w:hAnsiTheme="minorHAnsi" w:cs="Arial"/>
        </w:rPr>
      </w:pPr>
    </w:p>
    <w:p w:rsidR="00F118B1" w:rsidRPr="00F118B1" w:rsidRDefault="00F118B1" w:rsidP="009A7CF2">
      <w:pPr>
        <w:pStyle w:val="Prrafodelista"/>
        <w:numPr>
          <w:ilvl w:val="0"/>
          <w:numId w:val="22"/>
        </w:numPr>
        <w:spacing w:line="252" w:lineRule="auto"/>
        <w:jc w:val="both"/>
        <w:rPr>
          <w:rFonts w:asciiTheme="minorHAnsi" w:hAnsiTheme="minorHAnsi" w:cs="Arial"/>
        </w:rPr>
      </w:pPr>
      <w:r w:rsidRPr="00F118B1">
        <w:rPr>
          <w:rFonts w:asciiTheme="minorHAnsi" w:hAnsiTheme="minorHAnsi" w:cs="Arial"/>
        </w:rPr>
        <w:t>De</w:t>
      </w:r>
      <w:r w:rsidR="00BE3F64">
        <w:rPr>
          <w:rFonts w:asciiTheme="minorHAnsi" w:hAnsiTheme="minorHAnsi" w:cs="Arial"/>
        </w:rPr>
        <w:t>l total de extranjeros</w:t>
      </w:r>
      <w:r w:rsidRPr="00F118B1">
        <w:rPr>
          <w:rFonts w:asciiTheme="minorHAnsi" w:hAnsiTheme="minorHAnsi" w:cs="Arial"/>
        </w:rPr>
        <w:t xml:space="preserve">, </w:t>
      </w:r>
      <w:r>
        <w:rPr>
          <w:rFonts w:asciiTheme="minorHAnsi" w:hAnsiTheme="minorHAnsi" w:cs="Arial"/>
        </w:rPr>
        <w:t>un</w:t>
      </w:r>
      <w:r w:rsidRPr="00F118B1">
        <w:rPr>
          <w:rFonts w:asciiTheme="minorHAnsi" w:hAnsiTheme="minorHAnsi" w:cs="Arial"/>
        </w:rPr>
        <w:t xml:space="preserve"> 24,1% fueron de nacionalidad peruana, el 16,4% correspondieron a otras americanas </w:t>
      </w:r>
      <w:r>
        <w:rPr>
          <w:rFonts w:asciiTheme="minorHAnsi" w:hAnsiTheme="minorHAnsi" w:cs="Arial"/>
        </w:rPr>
        <w:t xml:space="preserve">(Colombianos un 11,1%, argentinos un 8,8% y bolivianos un 8,7%) </w:t>
      </w:r>
      <w:r w:rsidRPr="00F118B1">
        <w:rPr>
          <w:rFonts w:asciiTheme="minorHAnsi" w:hAnsiTheme="minorHAnsi" w:cs="Arial"/>
        </w:rPr>
        <w:t>y el 13,5% a europeos.</w:t>
      </w:r>
    </w:p>
    <w:p w:rsidR="00F118B1" w:rsidRDefault="00F118B1" w:rsidP="00F118B1">
      <w:pPr>
        <w:pStyle w:val="Prrafodelista"/>
        <w:jc w:val="both"/>
      </w:pPr>
    </w:p>
    <w:p w:rsidR="00F118B1" w:rsidRDefault="00F118B1" w:rsidP="00F118B1">
      <w:pPr>
        <w:pStyle w:val="Prrafodelista"/>
        <w:jc w:val="center"/>
      </w:pPr>
      <w:r>
        <w:rPr>
          <w:noProof/>
          <w:lang w:eastAsia="es-CL"/>
        </w:rPr>
        <w:lastRenderedPageBreak/>
        <w:drawing>
          <wp:inline distT="0" distB="0" distL="0" distR="0" wp14:anchorId="474FBC39" wp14:editId="58F4B976">
            <wp:extent cx="4505325" cy="4619625"/>
            <wp:effectExtent l="0" t="0" r="9525" b="9525"/>
            <wp:docPr id="2"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a:blip r:embed="rId8" cstate="print"/>
                    <a:srcRect/>
                    <a:stretch>
                      <a:fillRect/>
                    </a:stretch>
                  </pic:blipFill>
                  <pic:spPr bwMode="auto">
                    <a:xfrm>
                      <a:off x="0" y="0"/>
                      <a:ext cx="4505325" cy="4619625"/>
                    </a:xfrm>
                    <a:prstGeom prst="rect">
                      <a:avLst/>
                    </a:prstGeom>
                    <a:noFill/>
                    <a:ln w="9525">
                      <a:noFill/>
                      <a:miter lim="800000"/>
                      <a:headEnd/>
                      <a:tailEnd/>
                    </a:ln>
                  </pic:spPr>
                </pic:pic>
              </a:graphicData>
            </a:graphic>
          </wp:inline>
        </w:drawing>
      </w:r>
    </w:p>
    <w:p w:rsidR="00C67CBD" w:rsidRPr="00C67CBD" w:rsidRDefault="00C67CBD" w:rsidP="00C67CBD">
      <w:pPr>
        <w:spacing w:after="0"/>
        <w:jc w:val="both"/>
        <w:rPr>
          <w:sz w:val="18"/>
          <w:szCs w:val="18"/>
        </w:rPr>
      </w:pPr>
      <w:r>
        <w:rPr>
          <w:sz w:val="18"/>
          <w:szCs w:val="18"/>
        </w:rPr>
        <w:t xml:space="preserve">                             </w:t>
      </w:r>
      <w:r w:rsidRPr="00C67CBD">
        <w:rPr>
          <w:sz w:val="18"/>
          <w:szCs w:val="18"/>
        </w:rPr>
        <w:t>Fuente: Subsecretaría de Prevención del Delito</w:t>
      </w:r>
      <w:r w:rsidR="007309D3">
        <w:rPr>
          <w:sz w:val="18"/>
          <w:szCs w:val="18"/>
        </w:rPr>
        <w:t>.</w:t>
      </w:r>
    </w:p>
    <w:p w:rsidR="00F118B1" w:rsidRDefault="00F118B1" w:rsidP="00882ACD">
      <w:pPr>
        <w:ind w:left="360"/>
        <w:jc w:val="both"/>
      </w:pPr>
    </w:p>
    <w:p w:rsidR="00C67CBD" w:rsidRDefault="00C67CBD" w:rsidP="00C67CBD">
      <w:pPr>
        <w:pStyle w:val="Prrafodelista"/>
        <w:numPr>
          <w:ilvl w:val="0"/>
          <w:numId w:val="22"/>
        </w:numPr>
        <w:jc w:val="both"/>
      </w:pPr>
      <w:r>
        <w:t>Desde el año 2005 al 2015, ha habido un incremento sostenido de las víctimas extranjeras en DMCS. De hecho, el incremento en estos años ha sido de un 290,4%, lo que equivale a 13.549 personas.</w:t>
      </w:r>
    </w:p>
    <w:p w:rsidR="00C67CBD" w:rsidRDefault="00C67CBD" w:rsidP="00C67CBD">
      <w:pPr>
        <w:pStyle w:val="Prrafodelista"/>
        <w:jc w:val="both"/>
      </w:pPr>
    </w:p>
    <w:p w:rsidR="00C67CBD" w:rsidRDefault="00C67CBD" w:rsidP="003B4913">
      <w:pPr>
        <w:jc w:val="both"/>
      </w:pPr>
    </w:p>
    <w:p w:rsidR="00C67CBD" w:rsidRPr="006A04E8" w:rsidRDefault="00C67CBD" w:rsidP="00882ACD">
      <w:pPr>
        <w:ind w:left="360"/>
        <w:jc w:val="both"/>
      </w:pPr>
    </w:p>
    <w:p w:rsidR="006A04E8" w:rsidRDefault="00C67CBD" w:rsidP="00C67CBD">
      <w:pPr>
        <w:jc w:val="center"/>
        <w:rPr>
          <w:sz w:val="24"/>
          <w:szCs w:val="24"/>
        </w:rPr>
      </w:pPr>
      <w:r>
        <w:rPr>
          <w:noProof/>
          <w:lang w:eastAsia="es-CL"/>
        </w:rPr>
        <w:lastRenderedPageBreak/>
        <w:drawing>
          <wp:inline distT="0" distB="0" distL="0" distR="0" wp14:anchorId="4E01B6C2" wp14:editId="7728D122">
            <wp:extent cx="5524500" cy="2924175"/>
            <wp:effectExtent l="0" t="0" r="0"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67CBD" w:rsidRPr="00C67CBD" w:rsidRDefault="00C67CBD" w:rsidP="00C67CBD">
      <w:pPr>
        <w:spacing w:after="0"/>
        <w:jc w:val="both"/>
        <w:rPr>
          <w:sz w:val="18"/>
          <w:szCs w:val="18"/>
        </w:rPr>
      </w:pPr>
      <w:r w:rsidRPr="00C67CBD">
        <w:rPr>
          <w:sz w:val="18"/>
          <w:szCs w:val="18"/>
        </w:rPr>
        <w:t>Fuente:</w:t>
      </w:r>
      <w:r w:rsidR="007309D3">
        <w:rPr>
          <w:sz w:val="18"/>
          <w:szCs w:val="18"/>
        </w:rPr>
        <w:t xml:space="preserve"> Elaboración propia en base a datos de la </w:t>
      </w:r>
      <w:r w:rsidRPr="00C67CBD">
        <w:rPr>
          <w:sz w:val="18"/>
          <w:szCs w:val="18"/>
        </w:rPr>
        <w:t>Subsecretaría de Prevención del Delito</w:t>
      </w:r>
      <w:r w:rsidR="007309D3">
        <w:rPr>
          <w:sz w:val="18"/>
          <w:szCs w:val="18"/>
        </w:rPr>
        <w:t>.</w:t>
      </w:r>
    </w:p>
    <w:p w:rsidR="00C67CBD" w:rsidRDefault="00C67CBD" w:rsidP="006A04E8">
      <w:pPr>
        <w:jc w:val="both"/>
        <w:rPr>
          <w:sz w:val="24"/>
          <w:szCs w:val="24"/>
        </w:rPr>
      </w:pPr>
    </w:p>
    <w:p w:rsidR="00C67CBD" w:rsidRDefault="007309D3" w:rsidP="007309D3">
      <w:pPr>
        <w:pStyle w:val="Prrafodelista"/>
        <w:numPr>
          <w:ilvl w:val="0"/>
          <w:numId w:val="22"/>
        </w:numPr>
        <w:jc w:val="both"/>
        <w:rPr>
          <w:sz w:val="24"/>
          <w:szCs w:val="24"/>
        </w:rPr>
      </w:pPr>
      <w:r>
        <w:rPr>
          <w:sz w:val="24"/>
          <w:szCs w:val="24"/>
        </w:rPr>
        <w:t>En el 2015, los extranjeros fueron víctimas, principalmente, de hurtos (31,8%), robos con violencia o intimidación (17,9%) y de robos de objetos de o desde vehículo motorizado (12,3%).</w:t>
      </w:r>
    </w:p>
    <w:p w:rsidR="007309D3" w:rsidRDefault="007309D3" w:rsidP="007309D3">
      <w:pPr>
        <w:pStyle w:val="Prrafodelista"/>
        <w:jc w:val="both"/>
        <w:rPr>
          <w:sz w:val="24"/>
          <w:szCs w:val="24"/>
        </w:rPr>
      </w:pPr>
    </w:p>
    <w:p w:rsidR="007309D3" w:rsidRDefault="007309D3" w:rsidP="007309D3">
      <w:pPr>
        <w:pStyle w:val="Prrafodelista"/>
        <w:numPr>
          <w:ilvl w:val="0"/>
          <w:numId w:val="22"/>
        </w:numPr>
        <w:jc w:val="both"/>
        <w:rPr>
          <w:sz w:val="24"/>
          <w:szCs w:val="24"/>
        </w:rPr>
      </w:pPr>
      <w:r>
        <w:rPr>
          <w:sz w:val="24"/>
          <w:szCs w:val="24"/>
        </w:rPr>
        <w:t>Aquellos DMCS que más aumentaron desde el 2014 al 2015 fueron: Homicidios (183,3%), robo con violencia o intimidación (29,7%) y robo de objeto de o desde vehículo</w:t>
      </w:r>
      <w:r w:rsidR="00EA5247">
        <w:rPr>
          <w:sz w:val="24"/>
          <w:szCs w:val="24"/>
        </w:rPr>
        <w:t xml:space="preserve"> (24,4%)</w:t>
      </w:r>
      <w:r>
        <w:rPr>
          <w:sz w:val="24"/>
          <w:szCs w:val="24"/>
        </w:rPr>
        <w:t>.</w:t>
      </w:r>
    </w:p>
    <w:p w:rsidR="007309D3" w:rsidRPr="007309D3" w:rsidRDefault="007309D3" w:rsidP="007309D3">
      <w:pPr>
        <w:pStyle w:val="Prrafodelista"/>
        <w:rPr>
          <w:sz w:val="24"/>
          <w:szCs w:val="24"/>
        </w:rPr>
      </w:pPr>
    </w:p>
    <w:p w:rsidR="007309D3" w:rsidRDefault="007309D3" w:rsidP="007309D3">
      <w:pPr>
        <w:pStyle w:val="Prrafodelista"/>
        <w:numPr>
          <w:ilvl w:val="0"/>
          <w:numId w:val="22"/>
        </w:numPr>
        <w:jc w:val="both"/>
        <w:rPr>
          <w:sz w:val="24"/>
          <w:szCs w:val="24"/>
        </w:rPr>
      </w:pPr>
      <w:r>
        <w:rPr>
          <w:sz w:val="24"/>
          <w:szCs w:val="24"/>
        </w:rPr>
        <w:t>No todos los DMCS aumentaron el 2015 respecto al 2014. Las violaciones y las lesiones menos graves, graves y gravísimas se redujeron un -5,5% y un -2,7%, respectivamente.</w:t>
      </w:r>
    </w:p>
    <w:p w:rsidR="00EA5247" w:rsidRDefault="00EA5247" w:rsidP="00EA5247">
      <w:pPr>
        <w:pStyle w:val="Prrafodelista"/>
        <w:jc w:val="both"/>
        <w:rPr>
          <w:sz w:val="24"/>
          <w:szCs w:val="24"/>
        </w:rPr>
      </w:pPr>
    </w:p>
    <w:p w:rsidR="00EA5247" w:rsidRDefault="00EA5247" w:rsidP="00EA5247">
      <w:pPr>
        <w:pStyle w:val="Prrafodelista"/>
        <w:jc w:val="both"/>
        <w:rPr>
          <w:sz w:val="24"/>
          <w:szCs w:val="24"/>
        </w:rPr>
      </w:pPr>
    </w:p>
    <w:p w:rsidR="007309D3" w:rsidRDefault="007309D3" w:rsidP="007309D3">
      <w:pPr>
        <w:jc w:val="both"/>
        <w:rPr>
          <w:sz w:val="24"/>
          <w:szCs w:val="24"/>
        </w:rPr>
      </w:pPr>
    </w:p>
    <w:p w:rsidR="007309D3" w:rsidRDefault="007309D3" w:rsidP="007309D3">
      <w:pPr>
        <w:jc w:val="center"/>
        <w:rPr>
          <w:sz w:val="24"/>
          <w:szCs w:val="24"/>
        </w:rPr>
      </w:pPr>
      <w:r>
        <w:rPr>
          <w:noProof/>
          <w:lang w:eastAsia="es-CL"/>
        </w:rPr>
        <w:lastRenderedPageBreak/>
        <w:drawing>
          <wp:inline distT="0" distB="0" distL="0" distR="0" wp14:anchorId="323E1163" wp14:editId="122DBE76">
            <wp:extent cx="4210050" cy="3962400"/>
            <wp:effectExtent l="0" t="0" r="0" b="0"/>
            <wp:docPr id="5"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a:blip r:embed="rId10" cstate="print"/>
                    <a:srcRect/>
                    <a:stretch>
                      <a:fillRect/>
                    </a:stretch>
                  </pic:blipFill>
                  <pic:spPr bwMode="auto">
                    <a:xfrm>
                      <a:off x="0" y="0"/>
                      <a:ext cx="4210050" cy="3962400"/>
                    </a:xfrm>
                    <a:prstGeom prst="rect">
                      <a:avLst/>
                    </a:prstGeom>
                    <a:noFill/>
                    <a:ln w="9525">
                      <a:noFill/>
                      <a:miter lim="800000"/>
                      <a:headEnd/>
                      <a:tailEnd/>
                    </a:ln>
                  </pic:spPr>
                </pic:pic>
              </a:graphicData>
            </a:graphic>
          </wp:inline>
        </w:drawing>
      </w:r>
    </w:p>
    <w:p w:rsidR="007309D3" w:rsidRPr="00C67CBD" w:rsidRDefault="007309D3" w:rsidP="007309D3">
      <w:pPr>
        <w:spacing w:after="0"/>
        <w:jc w:val="both"/>
        <w:rPr>
          <w:sz w:val="18"/>
          <w:szCs w:val="18"/>
        </w:rPr>
      </w:pPr>
      <w:r>
        <w:rPr>
          <w:sz w:val="18"/>
          <w:szCs w:val="18"/>
        </w:rPr>
        <w:t xml:space="preserve">                             </w:t>
      </w:r>
      <w:r w:rsidRPr="00C67CBD">
        <w:rPr>
          <w:sz w:val="18"/>
          <w:szCs w:val="18"/>
        </w:rPr>
        <w:t>Fuente: Subsecretaría de Prevención del Delito</w:t>
      </w:r>
      <w:r>
        <w:rPr>
          <w:sz w:val="18"/>
          <w:szCs w:val="18"/>
        </w:rPr>
        <w:t>.</w:t>
      </w:r>
    </w:p>
    <w:p w:rsidR="007309D3" w:rsidRDefault="007309D3" w:rsidP="007309D3">
      <w:pPr>
        <w:jc w:val="both"/>
        <w:rPr>
          <w:sz w:val="24"/>
          <w:szCs w:val="24"/>
        </w:rPr>
      </w:pPr>
    </w:p>
    <w:p w:rsidR="00EA5247" w:rsidRPr="00EA5247" w:rsidRDefault="00EA5247" w:rsidP="00EA5247">
      <w:pPr>
        <w:pStyle w:val="Prrafodelista"/>
        <w:rPr>
          <w:sz w:val="24"/>
          <w:szCs w:val="24"/>
        </w:rPr>
      </w:pPr>
    </w:p>
    <w:p w:rsidR="00EA5247" w:rsidRPr="003B4913" w:rsidRDefault="00EA5247" w:rsidP="00EA5247">
      <w:pPr>
        <w:pStyle w:val="Prrafodelista"/>
        <w:numPr>
          <w:ilvl w:val="0"/>
          <w:numId w:val="22"/>
        </w:numPr>
        <w:jc w:val="both"/>
        <w:rPr>
          <w:rFonts w:asciiTheme="minorHAnsi" w:hAnsiTheme="minorHAnsi" w:cs="Arial"/>
          <w:sz w:val="24"/>
          <w:szCs w:val="28"/>
          <w:lang w:eastAsia="es-ES"/>
        </w:rPr>
      </w:pPr>
      <w:r w:rsidRPr="00EA5247">
        <w:rPr>
          <w:rFonts w:asciiTheme="minorHAnsi" w:hAnsiTheme="minorHAnsi" w:cs="Arial"/>
          <w:szCs w:val="28"/>
        </w:rPr>
        <w:t>Las regiones con mayor cantidad de víctimas extranjera</w:t>
      </w:r>
      <w:r w:rsidR="003B4913">
        <w:rPr>
          <w:rFonts w:asciiTheme="minorHAnsi" w:hAnsiTheme="minorHAnsi" w:cs="Arial"/>
          <w:szCs w:val="28"/>
        </w:rPr>
        <w:t>s</w:t>
      </w:r>
      <w:r w:rsidRPr="00EA5247">
        <w:rPr>
          <w:rFonts w:asciiTheme="minorHAnsi" w:hAnsiTheme="minorHAnsi" w:cs="Arial"/>
          <w:szCs w:val="28"/>
        </w:rPr>
        <w:t xml:space="preserve"> por este tipo de delitos corresponden a la Región Metropolitana que concentra </w:t>
      </w:r>
      <w:r w:rsidR="003B4913">
        <w:rPr>
          <w:rFonts w:asciiTheme="minorHAnsi" w:hAnsiTheme="minorHAnsi" w:cs="Arial"/>
          <w:szCs w:val="28"/>
        </w:rPr>
        <w:t>un</w:t>
      </w:r>
      <w:r w:rsidRPr="00EA5247">
        <w:rPr>
          <w:rFonts w:asciiTheme="minorHAnsi" w:hAnsiTheme="minorHAnsi" w:cs="Arial"/>
          <w:szCs w:val="28"/>
        </w:rPr>
        <w:t xml:space="preserve"> 67,4% seguida por la Re</w:t>
      </w:r>
      <w:r w:rsidR="003B4913">
        <w:rPr>
          <w:rFonts w:asciiTheme="minorHAnsi" w:hAnsiTheme="minorHAnsi" w:cs="Arial"/>
          <w:szCs w:val="28"/>
        </w:rPr>
        <w:t>gión de Antofagasta con el 9,9%,</w:t>
      </w:r>
      <w:r w:rsidRPr="00EA5247">
        <w:rPr>
          <w:rFonts w:asciiTheme="minorHAnsi" w:hAnsiTheme="minorHAnsi" w:cs="Arial"/>
          <w:szCs w:val="28"/>
        </w:rPr>
        <w:t xml:space="preserve"> en tercer lugar la Región de Valparaíso con el 8,2% del total</w:t>
      </w:r>
      <w:r w:rsidR="003B4913">
        <w:rPr>
          <w:rFonts w:asciiTheme="minorHAnsi" w:hAnsiTheme="minorHAnsi" w:cs="Arial"/>
          <w:szCs w:val="28"/>
        </w:rPr>
        <w:t xml:space="preserve"> y en cuarto lugar la Región de Tarapacá con un 6,6% del total</w:t>
      </w:r>
      <w:r w:rsidRPr="00EA5247">
        <w:rPr>
          <w:rFonts w:asciiTheme="minorHAnsi" w:hAnsiTheme="minorHAnsi" w:cs="Arial"/>
          <w:szCs w:val="28"/>
        </w:rPr>
        <w:t>.</w:t>
      </w:r>
      <w:r w:rsidR="003B4913">
        <w:rPr>
          <w:rFonts w:asciiTheme="minorHAnsi" w:hAnsiTheme="minorHAnsi" w:cs="Arial"/>
          <w:szCs w:val="28"/>
        </w:rPr>
        <w:t xml:space="preserve"> El resto de las regiones tienen todas participaciones menores a 1,3%.</w:t>
      </w:r>
    </w:p>
    <w:p w:rsidR="003B4913" w:rsidRPr="003B4913" w:rsidRDefault="003B4913" w:rsidP="003B4913">
      <w:pPr>
        <w:pStyle w:val="Prrafodelista"/>
        <w:jc w:val="both"/>
        <w:rPr>
          <w:rFonts w:asciiTheme="minorHAnsi" w:hAnsiTheme="minorHAnsi" w:cs="Arial"/>
          <w:sz w:val="24"/>
          <w:szCs w:val="28"/>
          <w:lang w:eastAsia="es-ES"/>
        </w:rPr>
      </w:pPr>
    </w:p>
    <w:p w:rsidR="003B4913" w:rsidRPr="00EA5247" w:rsidRDefault="003B4913" w:rsidP="00EA5247">
      <w:pPr>
        <w:pStyle w:val="Prrafodelista"/>
        <w:numPr>
          <w:ilvl w:val="0"/>
          <w:numId w:val="22"/>
        </w:numPr>
        <w:jc w:val="both"/>
        <w:rPr>
          <w:rFonts w:asciiTheme="minorHAnsi" w:hAnsiTheme="minorHAnsi" w:cs="Arial"/>
          <w:sz w:val="24"/>
          <w:szCs w:val="28"/>
          <w:lang w:eastAsia="es-ES"/>
        </w:rPr>
      </w:pPr>
      <w:r>
        <w:rPr>
          <w:rFonts w:asciiTheme="minorHAnsi" w:hAnsiTheme="minorHAnsi" w:cs="Arial"/>
          <w:sz w:val="24"/>
          <w:szCs w:val="28"/>
          <w:lang w:eastAsia="es-ES"/>
        </w:rPr>
        <w:t>Las regiones que más aumentaron este tipo de delitos en el último año son la Región de Magallanes y la Región de Aysén con un 60,4% y 27,3% respectivamente. Sólo la Región de Arica y Parinacota tiene una disminución en las víctimas extranjeras de DMCS de un -14,9%.</w:t>
      </w:r>
    </w:p>
    <w:p w:rsidR="00EA5247" w:rsidRDefault="00EA5247" w:rsidP="00EA5247">
      <w:pPr>
        <w:pStyle w:val="Prrafodelista"/>
        <w:jc w:val="both"/>
        <w:rPr>
          <w:sz w:val="24"/>
          <w:szCs w:val="24"/>
        </w:rPr>
      </w:pPr>
    </w:p>
    <w:p w:rsidR="007309D3" w:rsidRDefault="007309D3" w:rsidP="007309D3">
      <w:pPr>
        <w:jc w:val="both"/>
        <w:rPr>
          <w:sz w:val="24"/>
          <w:szCs w:val="24"/>
        </w:rPr>
      </w:pPr>
    </w:p>
    <w:p w:rsidR="007309D3" w:rsidRDefault="00EA5247" w:rsidP="00EA5247">
      <w:pPr>
        <w:jc w:val="center"/>
        <w:rPr>
          <w:sz w:val="24"/>
          <w:szCs w:val="24"/>
        </w:rPr>
      </w:pPr>
      <w:r>
        <w:rPr>
          <w:noProof/>
          <w:lang w:eastAsia="es-CL"/>
        </w:rPr>
        <w:lastRenderedPageBreak/>
        <w:drawing>
          <wp:inline distT="0" distB="0" distL="0" distR="0" wp14:anchorId="46373F63" wp14:editId="50878BC3">
            <wp:extent cx="4961890" cy="3571875"/>
            <wp:effectExtent l="0" t="0" r="0" b="9525"/>
            <wp:docPr id="6" name="Imagen 3"/>
            <wp:cNvGraphicFramePr/>
            <a:graphic xmlns:a="http://schemas.openxmlformats.org/drawingml/2006/main">
              <a:graphicData uri="http://schemas.openxmlformats.org/drawingml/2006/picture">
                <pic:pic xmlns:pic="http://schemas.openxmlformats.org/drawingml/2006/picture">
                  <pic:nvPicPr>
                    <pic:cNvPr id="5" name="Imagen 3"/>
                    <pic:cNvPicPr/>
                  </pic:nvPicPr>
                  <pic:blipFill>
                    <a:blip r:embed="rId11" cstate="print"/>
                    <a:srcRect/>
                    <a:stretch>
                      <a:fillRect/>
                    </a:stretch>
                  </pic:blipFill>
                  <pic:spPr bwMode="auto">
                    <a:xfrm>
                      <a:off x="0" y="0"/>
                      <a:ext cx="4961890" cy="3571875"/>
                    </a:xfrm>
                    <a:prstGeom prst="rect">
                      <a:avLst/>
                    </a:prstGeom>
                    <a:noFill/>
                    <a:ln w="9525">
                      <a:noFill/>
                      <a:miter lim="800000"/>
                      <a:headEnd/>
                      <a:tailEnd/>
                    </a:ln>
                  </pic:spPr>
                </pic:pic>
              </a:graphicData>
            </a:graphic>
          </wp:inline>
        </w:drawing>
      </w:r>
    </w:p>
    <w:p w:rsidR="003B4913" w:rsidRPr="00C67CBD" w:rsidRDefault="003B4913" w:rsidP="003B4913">
      <w:pPr>
        <w:spacing w:after="0"/>
        <w:jc w:val="both"/>
        <w:rPr>
          <w:sz w:val="18"/>
          <w:szCs w:val="18"/>
        </w:rPr>
      </w:pPr>
      <w:r>
        <w:rPr>
          <w:sz w:val="18"/>
          <w:szCs w:val="18"/>
        </w:rPr>
        <w:t xml:space="preserve">             </w:t>
      </w:r>
      <w:r w:rsidRPr="00C67CBD">
        <w:rPr>
          <w:sz w:val="18"/>
          <w:szCs w:val="18"/>
        </w:rPr>
        <w:t>Fuente: Subsecretaría de Prevención del Delito</w:t>
      </w:r>
      <w:r>
        <w:rPr>
          <w:sz w:val="18"/>
          <w:szCs w:val="18"/>
        </w:rPr>
        <w:t>.</w:t>
      </w:r>
    </w:p>
    <w:p w:rsidR="007309D3" w:rsidRDefault="007309D3" w:rsidP="007309D3">
      <w:pPr>
        <w:jc w:val="both"/>
        <w:rPr>
          <w:sz w:val="24"/>
          <w:szCs w:val="24"/>
        </w:rPr>
      </w:pPr>
    </w:p>
    <w:p w:rsidR="003B4913" w:rsidRPr="003B4913" w:rsidRDefault="003B4913" w:rsidP="003B4913">
      <w:pPr>
        <w:pStyle w:val="Prrafodelista"/>
        <w:numPr>
          <w:ilvl w:val="0"/>
          <w:numId w:val="22"/>
        </w:numPr>
        <w:jc w:val="both"/>
        <w:rPr>
          <w:rFonts w:asciiTheme="minorHAnsi" w:hAnsiTheme="minorHAnsi" w:cs="Arial"/>
          <w:sz w:val="24"/>
          <w:szCs w:val="28"/>
          <w:lang w:eastAsia="es-ES"/>
        </w:rPr>
      </w:pPr>
      <w:r w:rsidRPr="003B4913">
        <w:rPr>
          <w:rFonts w:asciiTheme="minorHAnsi" w:hAnsiTheme="minorHAnsi" w:cs="Arial"/>
          <w:szCs w:val="28"/>
        </w:rPr>
        <w:t xml:space="preserve">Respecto a las comunas con mayor víctimas extranjeras se encuentran Santiago, Providencia y Las Condes las que en conjunto agrupan el 49,7% del total de las víctimas de la Región Metropolitana. </w:t>
      </w:r>
    </w:p>
    <w:p w:rsidR="003B4913" w:rsidRPr="003B4913" w:rsidRDefault="003B4913" w:rsidP="003B4913">
      <w:pPr>
        <w:pStyle w:val="Prrafodelista"/>
        <w:jc w:val="both"/>
        <w:rPr>
          <w:rFonts w:asciiTheme="minorHAnsi" w:hAnsiTheme="minorHAnsi" w:cs="Arial"/>
          <w:sz w:val="24"/>
          <w:szCs w:val="28"/>
          <w:lang w:eastAsia="es-ES"/>
        </w:rPr>
      </w:pPr>
    </w:p>
    <w:p w:rsidR="003B4913" w:rsidRPr="003B4913" w:rsidRDefault="003B4913" w:rsidP="003B4913">
      <w:pPr>
        <w:pStyle w:val="Prrafodelista"/>
        <w:numPr>
          <w:ilvl w:val="0"/>
          <w:numId w:val="22"/>
        </w:numPr>
        <w:jc w:val="both"/>
        <w:rPr>
          <w:rFonts w:asciiTheme="minorHAnsi" w:hAnsiTheme="minorHAnsi" w:cs="Arial"/>
          <w:sz w:val="24"/>
          <w:szCs w:val="28"/>
          <w:lang w:eastAsia="es-ES"/>
        </w:rPr>
      </w:pPr>
      <w:r w:rsidRPr="003B4913">
        <w:rPr>
          <w:rFonts w:asciiTheme="minorHAnsi" w:hAnsiTheme="minorHAnsi" w:cs="Arial"/>
          <w:szCs w:val="28"/>
        </w:rPr>
        <w:t>Las 10 comunas con mayor concentración de víctimas extranjeras presentan incrementos en el 2015, siendo Quilicura y Ñuñoa las con mayores aumentos</w:t>
      </w:r>
      <w:r>
        <w:rPr>
          <w:rFonts w:asciiTheme="minorHAnsi" w:hAnsiTheme="minorHAnsi" w:cs="Arial"/>
          <w:szCs w:val="28"/>
        </w:rPr>
        <w:t>, 30,9% y 28,5% respectivamente</w:t>
      </w:r>
      <w:r w:rsidRPr="003B4913">
        <w:rPr>
          <w:rFonts w:asciiTheme="minorHAnsi" w:hAnsiTheme="minorHAnsi" w:cs="Arial"/>
          <w:szCs w:val="28"/>
        </w:rPr>
        <w:t>.</w:t>
      </w:r>
    </w:p>
    <w:p w:rsidR="003B4913" w:rsidRDefault="003B4913" w:rsidP="007309D3">
      <w:pPr>
        <w:jc w:val="both"/>
        <w:rPr>
          <w:sz w:val="24"/>
          <w:szCs w:val="24"/>
        </w:rPr>
      </w:pPr>
    </w:p>
    <w:p w:rsidR="003B4913" w:rsidRDefault="003B4913" w:rsidP="003B4913">
      <w:pPr>
        <w:jc w:val="center"/>
        <w:rPr>
          <w:sz w:val="24"/>
          <w:szCs w:val="24"/>
        </w:rPr>
      </w:pPr>
      <w:r>
        <w:rPr>
          <w:noProof/>
          <w:lang w:eastAsia="es-CL"/>
        </w:rPr>
        <w:lastRenderedPageBreak/>
        <w:drawing>
          <wp:inline distT="0" distB="0" distL="0" distR="0" wp14:anchorId="0222C2B4" wp14:editId="6EEEF7FA">
            <wp:extent cx="4686300" cy="3048000"/>
            <wp:effectExtent l="0" t="0" r="0" b="0"/>
            <wp:docPr id="8" name="Imagen 6"/>
            <wp:cNvGraphicFramePr/>
            <a:graphic xmlns:a="http://schemas.openxmlformats.org/drawingml/2006/main">
              <a:graphicData uri="http://schemas.openxmlformats.org/drawingml/2006/picture">
                <pic:pic xmlns:pic="http://schemas.openxmlformats.org/drawingml/2006/picture">
                  <pic:nvPicPr>
                    <pic:cNvPr id="8" name="Imagen 6"/>
                    <pic:cNvPicPr/>
                  </pic:nvPicPr>
                  <pic:blipFill>
                    <a:blip r:embed="rId12" cstate="print"/>
                    <a:srcRect/>
                    <a:stretch>
                      <a:fillRect/>
                    </a:stretch>
                  </pic:blipFill>
                  <pic:spPr bwMode="auto">
                    <a:xfrm>
                      <a:off x="0" y="0"/>
                      <a:ext cx="4686300" cy="3048000"/>
                    </a:xfrm>
                    <a:prstGeom prst="rect">
                      <a:avLst/>
                    </a:prstGeom>
                    <a:noFill/>
                    <a:ln w="9525">
                      <a:noFill/>
                      <a:miter lim="800000"/>
                      <a:headEnd/>
                      <a:tailEnd/>
                    </a:ln>
                  </pic:spPr>
                </pic:pic>
              </a:graphicData>
            </a:graphic>
          </wp:inline>
        </w:drawing>
      </w:r>
    </w:p>
    <w:p w:rsidR="003B4913" w:rsidRPr="00C67CBD" w:rsidRDefault="003B4913" w:rsidP="003B4913">
      <w:pPr>
        <w:spacing w:after="0"/>
        <w:jc w:val="both"/>
        <w:rPr>
          <w:sz w:val="18"/>
          <w:szCs w:val="18"/>
        </w:rPr>
      </w:pPr>
      <w:r>
        <w:rPr>
          <w:sz w:val="18"/>
          <w:szCs w:val="18"/>
        </w:rPr>
        <w:t xml:space="preserve">             </w:t>
      </w:r>
      <w:r>
        <w:rPr>
          <w:sz w:val="18"/>
          <w:szCs w:val="18"/>
        </w:rPr>
        <w:t xml:space="preserve">     </w:t>
      </w:r>
      <w:r w:rsidRPr="00C67CBD">
        <w:rPr>
          <w:sz w:val="18"/>
          <w:szCs w:val="18"/>
        </w:rPr>
        <w:t>Fuente: Subsecretaría de Prevención del Delito</w:t>
      </w:r>
      <w:r>
        <w:rPr>
          <w:sz w:val="18"/>
          <w:szCs w:val="18"/>
        </w:rPr>
        <w:t>.</w:t>
      </w:r>
    </w:p>
    <w:p w:rsidR="007309D3" w:rsidRDefault="007309D3" w:rsidP="007309D3">
      <w:pPr>
        <w:jc w:val="both"/>
        <w:rPr>
          <w:sz w:val="24"/>
          <w:szCs w:val="24"/>
        </w:rPr>
      </w:pPr>
    </w:p>
    <w:p w:rsidR="003B4913" w:rsidRDefault="003B4913" w:rsidP="003B4913">
      <w:pPr>
        <w:pStyle w:val="Prrafodelista"/>
        <w:numPr>
          <w:ilvl w:val="0"/>
          <w:numId w:val="21"/>
        </w:numPr>
        <w:jc w:val="both"/>
        <w:rPr>
          <w:b/>
          <w:sz w:val="24"/>
          <w:szCs w:val="24"/>
        </w:rPr>
      </w:pPr>
      <w:r>
        <w:rPr>
          <w:b/>
          <w:sz w:val="24"/>
          <w:szCs w:val="24"/>
        </w:rPr>
        <w:t>Turismo</w:t>
      </w:r>
    </w:p>
    <w:p w:rsidR="003B4913" w:rsidRDefault="003B4913" w:rsidP="003B4913">
      <w:pPr>
        <w:pStyle w:val="Prrafodelista"/>
        <w:ind w:left="1080"/>
        <w:jc w:val="both"/>
        <w:rPr>
          <w:b/>
          <w:sz w:val="24"/>
          <w:szCs w:val="24"/>
        </w:rPr>
      </w:pPr>
    </w:p>
    <w:p w:rsidR="007309D3" w:rsidRDefault="003B4913" w:rsidP="003B4913">
      <w:pPr>
        <w:pStyle w:val="Prrafodelista"/>
        <w:numPr>
          <w:ilvl w:val="0"/>
          <w:numId w:val="22"/>
        </w:numPr>
        <w:jc w:val="both"/>
      </w:pPr>
      <w:r w:rsidRPr="003B4913">
        <w:t xml:space="preserve">Como se mencionó anteriormente, las cifras de víctimas por DMCS no corresponden a turistas, sino a extranjeros. Sin embargo, </w:t>
      </w:r>
      <w:r>
        <w:t>se puede hacer un análisis con el fin de identificar la relación entre ambos datos.</w:t>
      </w:r>
    </w:p>
    <w:p w:rsidR="003B4913" w:rsidRDefault="003B4913" w:rsidP="003B4913">
      <w:pPr>
        <w:pStyle w:val="Prrafodelista"/>
        <w:jc w:val="both"/>
      </w:pPr>
    </w:p>
    <w:p w:rsidR="003B4913" w:rsidRDefault="00BC3008" w:rsidP="003B4913">
      <w:pPr>
        <w:pStyle w:val="Prrafodelista"/>
        <w:numPr>
          <w:ilvl w:val="0"/>
          <w:numId w:val="22"/>
        </w:numPr>
        <w:jc w:val="both"/>
      </w:pPr>
      <w:r>
        <w:t xml:space="preserve">En términos de participación de llegadas a Chile de turistas extranjeros, argentinos, </w:t>
      </w:r>
      <w:r>
        <w:t>brasileros</w:t>
      </w:r>
      <w:r>
        <w:t xml:space="preserve">, bolivianos y peruanos son los que tuvieron una mayor participación el 2015 (43,5%, 10,2%, 9,4% y 8,0%, respectivamente), y considerando el conglomerado de Europa, estos tienen una participación de un 9,2%. Lo anterior permite señalar que existe cierta coincidencia en el hecho que la mayor cantidad de víctimas extranjeras de DMCS son de aquellos países que recibimos una mayor cantidad de turistas. </w:t>
      </w:r>
    </w:p>
    <w:p w:rsidR="00BC3008" w:rsidRDefault="00BC3008" w:rsidP="00BC3008">
      <w:pPr>
        <w:pStyle w:val="Prrafodelista"/>
      </w:pPr>
    </w:p>
    <w:p w:rsidR="00BC3008" w:rsidRDefault="00BC3008" w:rsidP="003B4913">
      <w:pPr>
        <w:pStyle w:val="Prrafodelista"/>
        <w:numPr>
          <w:ilvl w:val="0"/>
          <w:numId w:val="22"/>
        </w:numPr>
        <w:jc w:val="both"/>
      </w:pPr>
      <w:r>
        <w:t>En términos de variación, no se observa mucha correlación, considerando que el aumento en la llegada de turistas el 2013, respecto al 2012, fue de sólo un 0,6% y el 2014 respecto al 2013 fue de un 2,7%. Si se puede apreciar que las víctimas el 2015 tienen un mayor crecimiento que los años anteriores, lo que coincide con el gran aumento en la llegada de turistas extranjeros ese año (21,9%).</w:t>
      </w:r>
    </w:p>
    <w:p w:rsidR="00BC3008" w:rsidRDefault="00BC3008" w:rsidP="00BC3008">
      <w:pPr>
        <w:pStyle w:val="Prrafodelista"/>
      </w:pPr>
    </w:p>
    <w:p w:rsidR="00BC3008" w:rsidRDefault="00785000" w:rsidP="003B4913">
      <w:pPr>
        <w:pStyle w:val="Prrafodelista"/>
        <w:numPr>
          <w:ilvl w:val="0"/>
          <w:numId w:val="22"/>
        </w:numPr>
        <w:jc w:val="both"/>
      </w:pPr>
      <w:r>
        <w:t>Finalmente, en cuanto a la relación de las victimas extranjeras de DMCS respecto al total de llegadas de turistas extranjeros, se puede señalar que el 2015, el total de víctimas extranjeras representó un 0,41% del total de llegadas de turistas extranjeros a Chile.</w:t>
      </w:r>
    </w:p>
    <w:p w:rsidR="00785000" w:rsidRDefault="00785000" w:rsidP="00785000">
      <w:pPr>
        <w:pStyle w:val="Prrafodelista"/>
      </w:pPr>
    </w:p>
    <w:p w:rsidR="00785000" w:rsidRDefault="00785000" w:rsidP="003B4913">
      <w:pPr>
        <w:pStyle w:val="Prrafodelista"/>
        <w:numPr>
          <w:ilvl w:val="0"/>
          <w:numId w:val="22"/>
        </w:numPr>
        <w:jc w:val="both"/>
      </w:pPr>
      <w:r>
        <w:t>Este porcentaje es ínfimo en relación a la llegada de turistas, sin embargo, desde el 2009, ha ido creciendo marginalmente con variaciones menores a 0,04%, ya que ese año el porcentaje de víctimas extranjeras versus turistas era de un 0,34%.</w:t>
      </w:r>
    </w:p>
    <w:p w:rsidR="00BC3008" w:rsidRDefault="00BC3008" w:rsidP="00BC3008">
      <w:pPr>
        <w:pStyle w:val="Prrafodelista"/>
      </w:pPr>
    </w:p>
    <w:p w:rsidR="00785000" w:rsidRDefault="00785000" w:rsidP="00785000">
      <w:pPr>
        <w:jc w:val="center"/>
      </w:pPr>
      <w:r>
        <w:rPr>
          <w:noProof/>
          <w:lang w:eastAsia="es-CL"/>
        </w:rPr>
        <w:drawing>
          <wp:inline distT="0" distB="0" distL="0" distR="0" wp14:anchorId="35BB0C87" wp14:editId="135EB177">
            <wp:extent cx="5217584" cy="3149601"/>
            <wp:effectExtent l="0" t="0" r="2540" b="1270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85000" w:rsidRPr="00C67CBD" w:rsidRDefault="00785000" w:rsidP="00785000">
      <w:pPr>
        <w:spacing w:after="0"/>
        <w:jc w:val="both"/>
        <w:rPr>
          <w:sz w:val="18"/>
          <w:szCs w:val="18"/>
        </w:rPr>
      </w:pPr>
      <w:r>
        <w:rPr>
          <w:sz w:val="18"/>
          <w:szCs w:val="18"/>
        </w:rPr>
        <w:t xml:space="preserve">       </w:t>
      </w:r>
      <w:r w:rsidRPr="00C67CBD">
        <w:rPr>
          <w:sz w:val="18"/>
          <w:szCs w:val="18"/>
        </w:rPr>
        <w:t xml:space="preserve">Fuente: </w:t>
      </w:r>
      <w:r>
        <w:rPr>
          <w:sz w:val="18"/>
          <w:szCs w:val="18"/>
        </w:rPr>
        <w:t>Elaboración propia</w:t>
      </w:r>
      <w:r>
        <w:rPr>
          <w:sz w:val="18"/>
          <w:szCs w:val="18"/>
        </w:rPr>
        <w:t>.</w:t>
      </w:r>
    </w:p>
    <w:p w:rsidR="00785000" w:rsidRPr="003B4913" w:rsidRDefault="00785000" w:rsidP="00785000">
      <w:pPr>
        <w:jc w:val="center"/>
      </w:pPr>
    </w:p>
    <w:sectPr w:rsidR="00785000" w:rsidRPr="003B4913" w:rsidSect="00F6134D">
      <w:headerReference w:type="default" r:id="rId14"/>
      <w:footerReference w:type="default" r:id="rId15"/>
      <w:pgSz w:w="12242" w:h="15842" w:code="1"/>
      <w:pgMar w:top="539" w:right="1701" w:bottom="1440" w:left="1701" w:header="0" w:footer="4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04E" w:rsidRDefault="00FC104E">
      <w:pPr>
        <w:spacing w:after="0" w:line="240" w:lineRule="auto"/>
      </w:pPr>
      <w:r>
        <w:separator/>
      </w:r>
    </w:p>
  </w:endnote>
  <w:endnote w:type="continuationSeparator" w:id="0">
    <w:p w:rsidR="00FC104E" w:rsidRDefault="00FC1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Alaska">
    <w:altName w:val="Verdana"/>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6458074"/>
      <w:docPartObj>
        <w:docPartGallery w:val="Page Numbers (Bottom of Page)"/>
        <w:docPartUnique/>
      </w:docPartObj>
    </w:sdtPr>
    <w:sdtEndPr/>
    <w:sdtContent>
      <w:p w:rsidR="003A46B9" w:rsidRDefault="003A46B9">
        <w:pPr>
          <w:pStyle w:val="Piedepgina"/>
          <w:jc w:val="right"/>
        </w:pPr>
        <w:r>
          <w:fldChar w:fldCharType="begin"/>
        </w:r>
        <w:r>
          <w:instrText>PAGE   \* MERGEFORMAT</w:instrText>
        </w:r>
        <w:r>
          <w:fldChar w:fldCharType="separate"/>
        </w:r>
        <w:r w:rsidR="00785000">
          <w:rPr>
            <w:noProof/>
          </w:rPr>
          <w:t>7</w:t>
        </w:r>
        <w:r>
          <w:fldChar w:fldCharType="end"/>
        </w:r>
      </w:p>
    </w:sdtContent>
  </w:sdt>
  <w:p w:rsidR="00EA0A36" w:rsidRDefault="003A46B9" w:rsidP="003A46B9">
    <w:pPr>
      <w:pStyle w:val="Piedepgina"/>
      <w:jc w:val="center"/>
      <w:rPr>
        <w:rFonts w:ascii="Alaska" w:hAnsi="Alaska"/>
        <w:sz w:val="12"/>
      </w:rPr>
    </w:pPr>
    <w:r>
      <w:rPr>
        <w:rFonts w:ascii="Alaska" w:hAnsi="Alaska"/>
        <w:sz w:val="12"/>
      </w:rPr>
      <w:t>DIVISIÓN DE ESTUDIOS</w:t>
    </w:r>
    <w:r w:rsidR="00EA0A36">
      <w:rPr>
        <w:rFonts w:ascii="Alaska" w:hAnsi="Alaska"/>
        <w:sz w:val="12"/>
      </w:rPr>
      <w:t xml:space="preserve"> - SUBSECRETARÍA DE TURISMO </w:t>
    </w:r>
  </w:p>
  <w:p w:rsidR="003A46B9" w:rsidRPr="00285C93" w:rsidRDefault="003A46B9" w:rsidP="003A46B9">
    <w:pPr>
      <w:pStyle w:val="Piedepgina"/>
      <w:jc w:val="center"/>
      <w:rPr>
        <w:rFonts w:ascii="Alaska" w:hAnsi="Alaska"/>
        <w:sz w:val="12"/>
      </w:rPr>
    </w:pPr>
    <w:r w:rsidRPr="00285C93">
      <w:rPr>
        <w:rFonts w:ascii="Alaska" w:hAnsi="Alaska"/>
        <w:sz w:val="12"/>
      </w:rPr>
      <w:t>AVDA. LIBERTADOR  BERNARDO O’HIGGINS 1449, TORRE II, PISO 1</w:t>
    </w:r>
    <w:r>
      <w:rPr>
        <w:rFonts w:ascii="Alaska" w:hAnsi="Alaska"/>
        <w:sz w:val="12"/>
      </w:rPr>
      <w:t>0</w:t>
    </w:r>
  </w:p>
  <w:p w:rsidR="00F6134D" w:rsidRPr="00DC6620" w:rsidRDefault="00EA0A36" w:rsidP="003A46B9">
    <w:pPr>
      <w:pStyle w:val="Piedepgina"/>
      <w:jc w:val="center"/>
      <w:rPr>
        <w:rFonts w:ascii="Alaska" w:hAnsi="Alaska"/>
        <w:sz w:val="12"/>
        <w:lang w:val="en-US"/>
      </w:rPr>
    </w:pPr>
    <w:r>
      <w:rPr>
        <w:rFonts w:ascii="Alaska" w:hAnsi="Alaska"/>
        <w:sz w:val="12"/>
        <w:lang w:val="en-US"/>
      </w:rPr>
      <w:t xml:space="preserve">F: +56 2 2473 3629 </w:t>
    </w:r>
    <w:hyperlink r:id="rId1" w:history="1">
      <w:r w:rsidR="003A46B9" w:rsidRPr="005018A6">
        <w:rPr>
          <w:rStyle w:val="Hipervnculo"/>
          <w:rFonts w:ascii="Alaska" w:hAnsi="Alaska"/>
          <w:sz w:val="12"/>
          <w:lang w:val="en-US"/>
        </w:rPr>
        <w:t>www.subturismo.gob.cl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04E" w:rsidRDefault="00FC104E">
      <w:pPr>
        <w:spacing w:after="0" w:line="240" w:lineRule="auto"/>
      </w:pPr>
      <w:r>
        <w:separator/>
      </w:r>
    </w:p>
  </w:footnote>
  <w:footnote w:type="continuationSeparator" w:id="0">
    <w:p w:rsidR="00FC104E" w:rsidRDefault="00FC10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34D" w:rsidRDefault="007D4F6D">
    <w:pPr>
      <w:pStyle w:val="Encabezado"/>
      <w:tabs>
        <w:tab w:val="clear" w:pos="4252"/>
        <w:tab w:val="clear" w:pos="8504"/>
        <w:tab w:val="left" w:pos="7088"/>
      </w:tabs>
      <w:rPr>
        <w:lang w:val="es-CL"/>
      </w:rPr>
    </w:pPr>
    <w:r>
      <w:rPr>
        <w:noProof/>
        <w:lang w:val="es-CL"/>
      </w:rPr>
      <w:drawing>
        <wp:anchor distT="0" distB="0" distL="114300" distR="114300" simplePos="0" relativeHeight="251658240" behindDoc="1" locked="0" layoutInCell="1" allowOverlap="1">
          <wp:simplePos x="0" y="0"/>
          <wp:positionH relativeFrom="column">
            <wp:posOffset>-175260</wp:posOffset>
          </wp:positionH>
          <wp:positionV relativeFrom="paragraph">
            <wp:posOffset>180975</wp:posOffset>
          </wp:positionV>
          <wp:extent cx="1104900" cy="1022032"/>
          <wp:effectExtent l="0" t="0" r="0" b="6985"/>
          <wp:wrapNone/>
          <wp:docPr id="4" name="Imagen 3" descr="v3_Subsecretaria de Turismo_CMY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3_Subsecretaria de Turismo_CMYK-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662" cy="103106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134D" w:rsidRDefault="007D4F6D">
    <w:pPr>
      <w:pStyle w:val="Encabezado"/>
      <w:rPr>
        <w:lang w:val="es-CL"/>
      </w:rPr>
    </w:pPr>
    <w:r>
      <w:rPr>
        <w:noProof/>
        <w:lang w:val="es-CL"/>
      </w:rPr>
      <mc:AlternateContent>
        <mc:Choice Requires="wps">
          <w:drawing>
            <wp:anchor distT="0" distB="0" distL="114300" distR="114300" simplePos="0" relativeHeight="251657216" behindDoc="0" locked="0" layoutInCell="1" allowOverlap="1">
              <wp:simplePos x="0" y="0"/>
              <wp:positionH relativeFrom="column">
                <wp:posOffset>3200400</wp:posOffset>
              </wp:positionH>
              <wp:positionV relativeFrom="paragraph">
                <wp:posOffset>85090</wp:posOffset>
              </wp:positionV>
              <wp:extent cx="2190115" cy="414655"/>
              <wp:effectExtent l="3810" t="2540" r="0" b="1905"/>
              <wp:wrapSquare wrapText="bothSides"/>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11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34D" w:rsidRDefault="00F6134D"/>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2pt;margin-top:6.7pt;width:172.45pt;height:3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eV3sgIAALkFAAAOAAAAZHJzL2Uyb0RvYy54bWysVG1vmzAQ/j5p/8Hyd8pLTRJQSdWGME3q&#10;XqR2P8ABE6yBzWwn0E377zubJE1bTZq28cGyfefn7rl7uKvrsWvRninNpchweBFgxEQpKy62Gf7y&#10;UHgLjLShoqKtFCzDj0zj6+XbN1dDn7JINrKtmEIAInQ69BlujOlT39dlwzqqL2TPBBhrqTpq4Ki2&#10;fqXoAOhd60dBMPMHqapeyZJpDbf5ZMRLh1/XrDSf6lozg9oMQ27GrcqtG7v6yyuabhXtG14e0qB/&#10;kUVHuYCgJ6icGop2ir+C6nippJa1uShl58u65iVzHIBNGLxgc9/QnjkuUBzdn8qk/x9s+XH/WSFe&#10;ZfgSI0E7aNEDGw26lSMKbXWGXqfgdN+DmxnhGrrsmOr+TpZfNRJy1VCxZTdKyaFhtILs3Ev/7OmE&#10;oy3IZvggKwhDd0Y6oLFWnS0dFAMBOnTp8dQZm0oJl1GYBGEYY1SCjYRkFsc2OZ+mx9e90uYdkx2y&#10;mwwr6LxDp/s7bSbXo4sNJmTB29Z1vxXPLgBzuoHY8NTabBaumT+SIFkv1gvikWi29kiQ595NsSLe&#10;rAjncX6Zr1Z5+NPGDUna8KpiwoY5Ciskf9a4g8QnSZykpWXLKwtnU9Jqu1m1Cu0pCLtw36EgZ27+&#10;8zRcvYDLC0phRILbKPGK2WLukYLEXjIPFl4QJrfJLCAJyYvnlO64YP9OCQ0ZTuIonsT0W26B+15z&#10;o2nHDYyOlncZXpycaGoluBaVa62hvJ32Z6Ww6T+VAtp9bLQTrNXopFYzbkZAsSreyOoRpKskKAv0&#10;CfMONo1U3zEaYHZkWH/bUcUwat8LkH8SEmKHjTuQeB7BQZ1bNucWKkqAyrDBaNquzDSgdr3i2wYi&#10;HX+4G/hlCu7U/JQVULEHmA+O1GGW2QF0fnZeTxN3+QsAAP//AwBQSwMEFAAGAAgAAAAhAJt5VUXd&#10;AAAACQEAAA8AAABkcnMvZG93bnJldi54bWxMj81OwzAQhO9IvIO1SNyoXUhpCHGqih+JQy+UcN/G&#10;SxwRr6PYbdK3x5zgOJrRzDflZna9ONEYOs8algsFgrjxpuNWQ/3xepODCBHZYO+ZNJwpwKa6vCix&#10;MH7idzrtYytSCYcCNdgYh0LK0FhyGBZ+IE7elx8dxiTHVpoRp1Tuenmr1L102HFasDjQk6Xme390&#10;GmI02+W5fnHh7XPePU9WNSustb6+mrePICLN8S8Mv/gJHarEdPBHNkH0GlYqS19iMu4yECmQZ/kD&#10;iIOGdb4GWZXy/4PqBwAA//8DAFBLAQItABQABgAIAAAAIQC2gziS/gAAAOEBAAATAAAAAAAAAAAA&#10;AAAAAAAAAABbQ29udGVudF9UeXBlc10ueG1sUEsBAi0AFAAGAAgAAAAhADj9If/WAAAAlAEAAAsA&#10;AAAAAAAAAAAAAAAALwEAAF9yZWxzLy5yZWxzUEsBAi0AFAAGAAgAAAAhAGQN5XeyAgAAuQUAAA4A&#10;AAAAAAAAAAAAAAAALgIAAGRycy9lMm9Eb2MueG1sUEsBAi0AFAAGAAgAAAAhAJt5VUXdAAAACQEA&#10;AA8AAAAAAAAAAAAAAAAADAUAAGRycy9kb3ducmV2LnhtbFBLBQYAAAAABAAEAPMAAAAWBgAAAAA=&#10;" filled="f" stroked="f">
              <v:textbox style="mso-fit-shape-to-text:t">
                <w:txbxContent>
                  <w:p w:rsidR="00F6134D" w:rsidRDefault="00F6134D"/>
                </w:txbxContent>
              </v:textbox>
              <w10:wrap type="square"/>
            </v:shape>
          </w:pict>
        </mc:Fallback>
      </mc:AlternateContent>
    </w:r>
  </w:p>
  <w:p w:rsidR="003976BC" w:rsidRDefault="003976BC" w:rsidP="00F6134D">
    <w:pPr>
      <w:pStyle w:val="Encabezado"/>
      <w:tabs>
        <w:tab w:val="left" w:pos="7655"/>
      </w:tabs>
      <w:ind w:left="-426" w:right="-232"/>
      <w:jc w:val="center"/>
      <w:rPr>
        <w:rFonts w:ascii="Times" w:hAnsi="Times"/>
        <w:i/>
        <w:color w:val="808080"/>
        <w:sz w:val="22"/>
        <w:szCs w:val="22"/>
      </w:rPr>
    </w:pPr>
  </w:p>
  <w:p w:rsidR="003976BC" w:rsidRDefault="008356B2" w:rsidP="008356B2">
    <w:pPr>
      <w:pStyle w:val="Encabezado"/>
      <w:tabs>
        <w:tab w:val="left" w:pos="480"/>
        <w:tab w:val="left" w:pos="7655"/>
      </w:tabs>
      <w:ind w:left="-426" w:right="-232"/>
      <w:rPr>
        <w:rFonts w:ascii="Times" w:hAnsi="Times"/>
        <w:i/>
        <w:color w:val="808080"/>
        <w:sz w:val="22"/>
        <w:szCs w:val="22"/>
      </w:rPr>
    </w:pPr>
    <w:r>
      <w:rPr>
        <w:rFonts w:ascii="Times" w:hAnsi="Times"/>
        <w:i/>
        <w:color w:val="808080"/>
        <w:sz w:val="22"/>
        <w:szCs w:val="22"/>
      </w:rPr>
      <w:tab/>
    </w:r>
  </w:p>
  <w:p w:rsidR="003976BC" w:rsidRDefault="003976BC" w:rsidP="00F6134D">
    <w:pPr>
      <w:pStyle w:val="Encabezado"/>
      <w:tabs>
        <w:tab w:val="left" w:pos="7655"/>
      </w:tabs>
      <w:ind w:left="-426" w:right="-232"/>
      <w:jc w:val="center"/>
      <w:rPr>
        <w:rFonts w:ascii="Times" w:hAnsi="Times"/>
        <w:i/>
        <w:color w:val="808080"/>
        <w:sz w:val="22"/>
        <w:szCs w:val="22"/>
      </w:rPr>
    </w:pPr>
  </w:p>
  <w:p w:rsidR="003976BC" w:rsidRDefault="003976BC" w:rsidP="00F6134D">
    <w:pPr>
      <w:pStyle w:val="Encabezado"/>
      <w:tabs>
        <w:tab w:val="left" w:pos="7655"/>
      </w:tabs>
      <w:ind w:left="-426" w:right="-232"/>
      <w:jc w:val="center"/>
      <w:rPr>
        <w:rFonts w:ascii="Times" w:hAnsi="Times"/>
        <w:i/>
        <w:color w:val="808080"/>
        <w:sz w:val="22"/>
        <w:szCs w:val="22"/>
      </w:rPr>
    </w:pPr>
  </w:p>
  <w:p w:rsidR="00DC6620" w:rsidRDefault="00DC6620" w:rsidP="00DC6620">
    <w:pPr>
      <w:pStyle w:val="Encabezado"/>
      <w:tabs>
        <w:tab w:val="left" w:pos="7655"/>
      </w:tabs>
      <w:ind w:left="-426" w:right="-232"/>
      <w:jc w:val="center"/>
      <w:rPr>
        <w:rFonts w:ascii="Times" w:hAnsi="Times"/>
        <w:i/>
        <w:color w:val="808080"/>
        <w:sz w:val="22"/>
        <w:szCs w:val="22"/>
      </w:rPr>
    </w:pPr>
  </w:p>
  <w:p w:rsidR="003976BC" w:rsidRDefault="003976BC" w:rsidP="00F6134D">
    <w:pPr>
      <w:pStyle w:val="Encabezado"/>
      <w:tabs>
        <w:tab w:val="left" w:pos="7655"/>
      </w:tabs>
      <w:ind w:left="-426" w:right="-232"/>
      <w:jc w:val="center"/>
      <w:rPr>
        <w:rFonts w:ascii="Times" w:hAnsi="Times"/>
        <w:i/>
        <w:color w:val="80808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35B7"/>
    <w:multiLevelType w:val="hybridMultilevel"/>
    <w:tmpl w:val="B71E7B1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858589B"/>
    <w:multiLevelType w:val="hybridMultilevel"/>
    <w:tmpl w:val="0DFE41E4"/>
    <w:lvl w:ilvl="0" w:tplc="EA5EA6CA">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6625C7D"/>
    <w:multiLevelType w:val="hybridMultilevel"/>
    <w:tmpl w:val="AD480EDC"/>
    <w:lvl w:ilvl="0" w:tplc="9EE4FE3A">
      <w:start w:val="1"/>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6BA1BC5"/>
    <w:multiLevelType w:val="hybridMultilevel"/>
    <w:tmpl w:val="6158FA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07856F1"/>
    <w:multiLevelType w:val="hybridMultilevel"/>
    <w:tmpl w:val="643E06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1FB632C"/>
    <w:multiLevelType w:val="hybridMultilevel"/>
    <w:tmpl w:val="B2480386"/>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95C6966"/>
    <w:multiLevelType w:val="hybridMultilevel"/>
    <w:tmpl w:val="684EF0E6"/>
    <w:lvl w:ilvl="0" w:tplc="340A0001">
      <w:start w:val="1"/>
      <w:numFmt w:val="bullet"/>
      <w:lvlText w:val=""/>
      <w:lvlJc w:val="left"/>
      <w:pPr>
        <w:ind w:left="1395" w:hanging="360"/>
      </w:pPr>
      <w:rPr>
        <w:rFonts w:ascii="Symbol" w:hAnsi="Symbol" w:hint="default"/>
      </w:rPr>
    </w:lvl>
    <w:lvl w:ilvl="1" w:tplc="340A0003" w:tentative="1">
      <w:start w:val="1"/>
      <w:numFmt w:val="bullet"/>
      <w:lvlText w:val="o"/>
      <w:lvlJc w:val="left"/>
      <w:pPr>
        <w:ind w:left="2115" w:hanging="360"/>
      </w:pPr>
      <w:rPr>
        <w:rFonts w:ascii="Courier New" w:hAnsi="Courier New" w:cs="Courier New" w:hint="default"/>
      </w:rPr>
    </w:lvl>
    <w:lvl w:ilvl="2" w:tplc="340A0005" w:tentative="1">
      <w:start w:val="1"/>
      <w:numFmt w:val="bullet"/>
      <w:lvlText w:val=""/>
      <w:lvlJc w:val="left"/>
      <w:pPr>
        <w:ind w:left="2835" w:hanging="360"/>
      </w:pPr>
      <w:rPr>
        <w:rFonts w:ascii="Wingdings" w:hAnsi="Wingdings" w:hint="default"/>
      </w:rPr>
    </w:lvl>
    <w:lvl w:ilvl="3" w:tplc="340A0001" w:tentative="1">
      <w:start w:val="1"/>
      <w:numFmt w:val="bullet"/>
      <w:lvlText w:val=""/>
      <w:lvlJc w:val="left"/>
      <w:pPr>
        <w:ind w:left="3555" w:hanging="360"/>
      </w:pPr>
      <w:rPr>
        <w:rFonts w:ascii="Symbol" w:hAnsi="Symbol" w:hint="default"/>
      </w:rPr>
    </w:lvl>
    <w:lvl w:ilvl="4" w:tplc="340A0003" w:tentative="1">
      <w:start w:val="1"/>
      <w:numFmt w:val="bullet"/>
      <w:lvlText w:val="o"/>
      <w:lvlJc w:val="left"/>
      <w:pPr>
        <w:ind w:left="4275" w:hanging="360"/>
      </w:pPr>
      <w:rPr>
        <w:rFonts w:ascii="Courier New" w:hAnsi="Courier New" w:cs="Courier New" w:hint="default"/>
      </w:rPr>
    </w:lvl>
    <w:lvl w:ilvl="5" w:tplc="340A0005" w:tentative="1">
      <w:start w:val="1"/>
      <w:numFmt w:val="bullet"/>
      <w:lvlText w:val=""/>
      <w:lvlJc w:val="left"/>
      <w:pPr>
        <w:ind w:left="4995" w:hanging="360"/>
      </w:pPr>
      <w:rPr>
        <w:rFonts w:ascii="Wingdings" w:hAnsi="Wingdings" w:hint="default"/>
      </w:rPr>
    </w:lvl>
    <w:lvl w:ilvl="6" w:tplc="340A0001" w:tentative="1">
      <w:start w:val="1"/>
      <w:numFmt w:val="bullet"/>
      <w:lvlText w:val=""/>
      <w:lvlJc w:val="left"/>
      <w:pPr>
        <w:ind w:left="5715" w:hanging="360"/>
      </w:pPr>
      <w:rPr>
        <w:rFonts w:ascii="Symbol" w:hAnsi="Symbol" w:hint="default"/>
      </w:rPr>
    </w:lvl>
    <w:lvl w:ilvl="7" w:tplc="340A0003" w:tentative="1">
      <w:start w:val="1"/>
      <w:numFmt w:val="bullet"/>
      <w:lvlText w:val="o"/>
      <w:lvlJc w:val="left"/>
      <w:pPr>
        <w:ind w:left="6435" w:hanging="360"/>
      </w:pPr>
      <w:rPr>
        <w:rFonts w:ascii="Courier New" w:hAnsi="Courier New" w:cs="Courier New" w:hint="default"/>
      </w:rPr>
    </w:lvl>
    <w:lvl w:ilvl="8" w:tplc="340A0005" w:tentative="1">
      <w:start w:val="1"/>
      <w:numFmt w:val="bullet"/>
      <w:lvlText w:val=""/>
      <w:lvlJc w:val="left"/>
      <w:pPr>
        <w:ind w:left="7155" w:hanging="360"/>
      </w:pPr>
      <w:rPr>
        <w:rFonts w:ascii="Wingdings" w:hAnsi="Wingdings" w:hint="default"/>
      </w:rPr>
    </w:lvl>
  </w:abstractNum>
  <w:abstractNum w:abstractNumId="7" w15:restartNumberingAfterBreak="0">
    <w:nsid w:val="2B4F39A5"/>
    <w:multiLevelType w:val="hybridMultilevel"/>
    <w:tmpl w:val="44CA8190"/>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D610D56"/>
    <w:multiLevelType w:val="hybridMultilevel"/>
    <w:tmpl w:val="9D3A67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07821E5"/>
    <w:multiLevelType w:val="hybridMultilevel"/>
    <w:tmpl w:val="FE3CE0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1693EE0"/>
    <w:multiLevelType w:val="hybridMultilevel"/>
    <w:tmpl w:val="F8B4A6E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9553AED"/>
    <w:multiLevelType w:val="hybridMultilevel"/>
    <w:tmpl w:val="B352CFA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53437CE0"/>
    <w:multiLevelType w:val="hybridMultilevel"/>
    <w:tmpl w:val="3FEA60DA"/>
    <w:lvl w:ilvl="0" w:tplc="417829D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7730CC9"/>
    <w:multiLevelType w:val="hybridMultilevel"/>
    <w:tmpl w:val="3FEA60DA"/>
    <w:lvl w:ilvl="0" w:tplc="417829D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5A8326A8"/>
    <w:multiLevelType w:val="hybridMultilevel"/>
    <w:tmpl w:val="87426B54"/>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BC73412"/>
    <w:multiLevelType w:val="hybridMultilevel"/>
    <w:tmpl w:val="CB667EEA"/>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68EC62B4"/>
    <w:multiLevelType w:val="hybridMultilevel"/>
    <w:tmpl w:val="A906CABE"/>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6D9E17EC"/>
    <w:multiLevelType w:val="hybridMultilevel"/>
    <w:tmpl w:val="D2408A1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31B1614"/>
    <w:multiLevelType w:val="hybridMultilevel"/>
    <w:tmpl w:val="CB5891E0"/>
    <w:lvl w:ilvl="0" w:tplc="98DEFE00">
      <w:start w:val="1"/>
      <w:numFmt w:val="lowerLetter"/>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9" w15:restartNumberingAfterBreak="0">
    <w:nsid w:val="73C21DEF"/>
    <w:multiLevelType w:val="hybridMultilevel"/>
    <w:tmpl w:val="C8F4BCE2"/>
    <w:lvl w:ilvl="0" w:tplc="DD9C5E58">
      <w:start w:val="2"/>
      <w:numFmt w:val="bullet"/>
      <w:lvlText w:val="-"/>
      <w:lvlJc w:val="left"/>
      <w:pPr>
        <w:ind w:left="720" w:hanging="360"/>
      </w:pPr>
      <w:rPr>
        <w:rFonts w:ascii="Tahoma" w:eastAsia="Calibri" w:hAnsi="Tahoma"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745C4E21"/>
    <w:multiLevelType w:val="hybridMultilevel"/>
    <w:tmpl w:val="CAAE342E"/>
    <w:lvl w:ilvl="0" w:tplc="BD0C2604">
      <w:numFmt w:val="bullet"/>
      <w:lvlText w:val="-"/>
      <w:lvlJc w:val="left"/>
      <w:pPr>
        <w:ind w:left="720" w:hanging="360"/>
      </w:pPr>
      <w:rPr>
        <w:rFonts w:ascii="Verdana" w:eastAsia="Calibri" w:hAnsi="Verdana" w:cs="Times New Roman" w:hint="default"/>
        <w:sz w:val="1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7D16064D"/>
    <w:multiLevelType w:val="hybridMultilevel"/>
    <w:tmpl w:val="52C0123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7E6259BE"/>
    <w:multiLevelType w:val="hybridMultilevel"/>
    <w:tmpl w:val="1E7C0182"/>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4"/>
  </w:num>
  <w:num w:numId="4">
    <w:abstractNumId w:val="11"/>
  </w:num>
  <w:num w:numId="5">
    <w:abstractNumId w:val="18"/>
  </w:num>
  <w:num w:numId="6">
    <w:abstractNumId w:val="5"/>
  </w:num>
  <w:num w:numId="7">
    <w:abstractNumId w:val="16"/>
  </w:num>
  <w:num w:numId="8">
    <w:abstractNumId w:val="7"/>
  </w:num>
  <w:num w:numId="9">
    <w:abstractNumId w:val="22"/>
  </w:num>
  <w:num w:numId="10">
    <w:abstractNumId w:val="14"/>
  </w:num>
  <w:num w:numId="11">
    <w:abstractNumId w:val="15"/>
  </w:num>
  <w:num w:numId="12">
    <w:abstractNumId w:val="0"/>
  </w:num>
  <w:num w:numId="13">
    <w:abstractNumId w:val="8"/>
  </w:num>
  <w:num w:numId="14">
    <w:abstractNumId w:val="9"/>
  </w:num>
  <w:num w:numId="15">
    <w:abstractNumId w:val="3"/>
  </w:num>
  <w:num w:numId="16">
    <w:abstractNumId w:val="21"/>
  </w:num>
  <w:num w:numId="17">
    <w:abstractNumId w:val="6"/>
  </w:num>
  <w:num w:numId="18">
    <w:abstractNumId w:val="17"/>
  </w:num>
  <w:num w:numId="19">
    <w:abstractNumId w:val="10"/>
  </w:num>
  <w:num w:numId="20">
    <w:abstractNumId w:val="1"/>
  </w:num>
  <w:num w:numId="21">
    <w:abstractNumId w:val="13"/>
  </w:num>
  <w:num w:numId="22">
    <w:abstractNumId w:val="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34D"/>
    <w:rsid w:val="0002312C"/>
    <w:rsid w:val="000A65CD"/>
    <w:rsid w:val="000B3F68"/>
    <w:rsid w:val="001C2050"/>
    <w:rsid w:val="001D62C5"/>
    <w:rsid w:val="001F6247"/>
    <w:rsid w:val="002047B0"/>
    <w:rsid w:val="00230C3A"/>
    <w:rsid w:val="00232CBF"/>
    <w:rsid w:val="002331FE"/>
    <w:rsid w:val="002602DE"/>
    <w:rsid w:val="0026227B"/>
    <w:rsid w:val="003163FC"/>
    <w:rsid w:val="00335C5D"/>
    <w:rsid w:val="003976BC"/>
    <w:rsid w:val="003A46B9"/>
    <w:rsid w:val="003B4913"/>
    <w:rsid w:val="003E4C5C"/>
    <w:rsid w:val="00421D4E"/>
    <w:rsid w:val="004270CC"/>
    <w:rsid w:val="00440252"/>
    <w:rsid w:val="00456664"/>
    <w:rsid w:val="00460FFD"/>
    <w:rsid w:val="00477A4C"/>
    <w:rsid w:val="0051590F"/>
    <w:rsid w:val="005552BC"/>
    <w:rsid w:val="005A3C40"/>
    <w:rsid w:val="005E1B0D"/>
    <w:rsid w:val="005F4F44"/>
    <w:rsid w:val="00642DE0"/>
    <w:rsid w:val="006457F1"/>
    <w:rsid w:val="00693276"/>
    <w:rsid w:val="006A04E8"/>
    <w:rsid w:val="006E5F67"/>
    <w:rsid w:val="007309D3"/>
    <w:rsid w:val="00744685"/>
    <w:rsid w:val="00785000"/>
    <w:rsid w:val="007866AC"/>
    <w:rsid w:val="007D4F6D"/>
    <w:rsid w:val="007D6606"/>
    <w:rsid w:val="00821C0D"/>
    <w:rsid w:val="008356B2"/>
    <w:rsid w:val="00871272"/>
    <w:rsid w:val="00882ACD"/>
    <w:rsid w:val="00893F27"/>
    <w:rsid w:val="008A4A16"/>
    <w:rsid w:val="00907D61"/>
    <w:rsid w:val="0097196E"/>
    <w:rsid w:val="0098733E"/>
    <w:rsid w:val="009A324B"/>
    <w:rsid w:val="009A7CC9"/>
    <w:rsid w:val="009C03CE"/>
    <w:rsid w:val="009E5C95"/>
    <w:rsid w:val="00A24139"/>
    <w:rsid w:val="00A92C7A"/>
    <w:rsid w:val="00AA3E58"/>
    <w:rsid w:val="00B107A6"/>
    <w:rsid w:val="00B36CFD"/>
    <w:rsid w:val="00B74E6E"/>
    <w:rsid w:val="00B961FB"/>
    <w:rsid w:val="00BC3008"/>
    <w:rsid w:val="00BE19BD"/>
    <w:rsid w:val="00BE3F64"/>
    <w:rsid w:val="00BF134F"/>
    <w:rsid w:val="00C33635"/>
    <w:rsid w:val="00C44237"/>
    <w:rsid w:val="00C508AC"/>
    <w:rsid w:val="00C67CBD"/>
    <w:rsid w:val="00CB6557"/>
    <w:rsid w:val="00CD7953"/>
    <w:rsid w:val="00CE1D10"/>
    <w:rsid w:val="00CF500C"/>
    <w:rsid w:val="00D270CE"/>
    <w:rsid w:val="00D441C3"/>
    <w:rsid w:val="00D75E9B"/>
    <w:rsid w:val="00DC6620"/>
    <w:rsid w:val="00DD1D1A"/>
    <w:rsid w:val="00DD582E"/>
    <w:rsid w:val="00E53B3E"/>
    <w:rsid w:val="00E5612F"/>
    <w:rsid w:val="00E73BAD"/>
    <w:rsid w:val="00E96EEC"/>
    <w:rsid w:val="00EA0A36"/>
    <w:rsid w:val="00EA5247"/>
    <w:rsid w:val="00ED51B7"/>
    <w:rsid w:val="00EF6DAE"/>
    <w:rsid w:val="00F118B1"/>
    <w:rsid w:val="00F603A4"/>
    <w:rsid w:val="00F6134D"/>
    <w:rsid w:val="00F714A2"/>
    <w:rsid w:val="00F93F2B"/>
    <w:rsid w:val="00FC104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DB080C-9729-4033-A1D4-9C6EF2015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rsid w:val="004270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F6134D"/>
    <w:pPr>
      <w:keepNext/>
      <w:spacing w:after="0" w:line="240" w:lineRule="auto"/>
      <w:ind w:left="4536"/>
      <w:jc w:val="both"/>
      <w:outlineLvl w:val="1"/>
    </w:pPr>
    <w:rPr>
      <w:rFonts w:ascii="Times New Roman" w:eastAsia="Times New Roman" w:hAnsi="Times New Roman"/>
      <w:sz w:val="24"/>
      <w:szCs w:val="20"/>
      <w:lang w:val="es-ES"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F6134D"/>
    <w:rPr>
      <w:rFonts w:ascii="Times New Roman" w:eastAsia="Times New Roman" w:hAnsi="Times New Roman"/>
      <w:sz w:val="24"/>
      <w:lang w:val="es-ES"/>
    </w:rPr>
  </w:style>
  <w:style w:type="paragraph" w:styleId="Encabezado">
    <w:name w:val="header"/>
    <w:basedOn w:val="Normal"/>
    <w:link w:val="EncabezadoCar"/>
    <w:rsid w:val="00F6134D"/>
    <w:pPr>
      <w:tabs>
        <w:tab w:val="center" w:pos="4252"/>
        <w:tab w:val="right" w:pos="8504"/>
      </w:tabs>
      <w:spacing w:after="0" w:line="240" w:lineRule="auto"/>
    </w:pPr>
    <w:rPr>
      <w:rFonts w:ascii="Times New Roman" w:eastAsia="Times New Roman" w:hAnsi="Times New Roman"/>
      <w:sz w:val="20"/>
      <w:szCs w:val="20"/>
      <w:lang w:val="es-ES" w:eastAsia="es-CL"/>
    </w:rPr>
  </w:style>
  <w:style w:type="character" w:customStyle="1" w:styleId="EncabezadoCar">
    <w:name w:val="Encabezado Car"/>
    <w:link w:val="Encabezado"/>
    <w:rsid w:val="00F6134D"/>
    <w:rPr>
      <w:rFonts w:ascii="Times New Roman" w:eastAsia="Times New Roman" w:hAnsi="Times New Roman"/>
      <w:lang w:val="es-ES"/>
    </w:rPr>
  </w:style>
  <w:style w:type="paragraph" w:styleId="Piedepgina">
    <w:name w:val="footer"/>
    <w:basedOn w:val="Normal"/>
    <w:link w:val="PiedepginaCar"/>
    <w:uiPriority w:val="99"/>
    <w:rsid w:val="00F6134D"/>
    <w:pPr>
      <w:tabs>
        <w:tab w:val="center" w:pos="4252"/>
        <w:tab w:val="right" w:pos="8504"/>
      </w:tabs>
      <w:spacing w:after="0" w:line="240" w:lineRule="auto"/>
    </w:pPr>
    <w:rPr>
      <w:rFonts w:ascii="Times New Roman" w:eastAsia="Times New Roman" w:hAnsi="Times New Roman"/>
      <w:sz w:val="20"/>
      <w:szCs w:val="20"/>
      <w:lang w:val="es-ES" w:eastAsia="es-CL"/>
    </w:rPr>
  </w:style>
  <w:style w:type="character" w:customStyle="1" w:styleId="PiedepginaCar">
    <w:name w:val="Pie de página Car"/>
    <w:link w:val="Piedepgina"/>
    <w:uiPriority w:val="99"/>
    <w:rsid w:val="00F6134D"/>
    <w:rPr>
      <w:rFonts w:ascii="Times New Roman" w:eastAsia="Times New Roman" w:hAnsi="Times New Roman"/>
      <w:lang w:val="es-ES"/>
    </w:rPr>
  </w:style>
  <w:style w:type="character" w:styleId="Hipervnculo">
    <w:name w:val="Hyperlink"/>
    <w:rsid w:val="00F6134D"/>
    <w:rPr>
      <w:color w:val="0000FF"/>
      <w:u w:val="single"/>
    </w:rPr>
  </w:style>
  <w:style w:type="character" w:customStyle="1" w:styleId="dzaror">
    <w:name w:val="dzaror"/>
    <w:semiHidden/>
    <w:rsid w:val="00F6134D"/>
    <w:rPr>
      <w:rFonts w:ascii="Arial" w:hAnsi="Arial" w:cs="Arial"/>
      <w:color w:val="000080"/>
      <w:sz w:val="20"/>
      <w:szCs w:val="20"/>
    </w:rPr>
  </w:style>
  <w:style w:type="paragraph" w:styleId="Textodeglobo">
    <w:name w:val="Balloon Text"/>
    <w:basedOn w:val="Normal"/>
    <w:link w:val="TextodegloboCar"/>
    <w:uiPriority w:val="99"/>
    <w:semiHidden/>
    <w:unhideWhenUsed/>
    <w:rsid w:val="0074468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744685"/>
    <w:rPr>
      <w:rFonts w:ascii="Segoe UI" w:hAnsi="Segoe UI" w:cs="Segoe UI"/>
      <w:sz w:val="18"/>
      <w:szCs w:val="18"/>
      <w:lang w:eastAsia="en-US"/>
    </w:rPr>
  </w:style>
  <w:style w:type="paragraph" w:styleId="Prrafodelista">
    <w:name w:val="List Paragraph"/>
    <w:basedOn w:val="Normal"/>
    <w:link w:val="PrrafodelistaCar"/>
    <w:uiPriority w:val="34"/>
    <w:qFormat/>
    <w:rsid w:val="007D4F6D"/>
    <w:pPr>
      <w:spacing w:after="160" w:line="259" w:lineRule="auto"/>
      <w:ind w:left="720"/>
      <w:contextualSpacing/>
    </w:pPr>
  </w:style>
  <w:style w:type="paragraph" w:styleId="NormalWeb">
    <w:name w:val="Normal (Web)"/>
    <w:basedOn w:val="Normal"/>
    <w:uiPriority w:val="99"/>
    <w:semiHidden/>
    <w:unhideWhenUsed/>
    <w:rsid w:val="007D4F6D"/>
    <w:pPr>
      <w:spacing w:before="100" w:beforeAutospacing="1" w:after="100" w:afterAutospacing="1" w:line="240" w:lineRule="auto"/>
    </w:pPr>
    <w:rPr>
      <w:rFonts w:ascii="Times New Roman" w:hAnsi="Times New Roman"/>
      <w:sz w:val="24"/>
      <w:szCs w:val="24"/>
      <w:lang w:eastAsia="es-CL"/>
    </w:rPr>
  </w:style>
  <w:style w:type="character" w:styleId="nfasis">
    <w:name w:val="Emphasis"/>
    <w:uiPriority w:val="20"/>
    <w:qFormat/>
    <w:rsid w:val="007D4F6D"/>
    <w:rPr>
      <w:i/>
      <w:iCs/>
    </w:rPr>
  </w:style>
  <w:style w:type="paragraph" w:styleId="Textonotapie">
    <w:name w:val="footnote text"/>
    <w:basedOn w:val="Normal"/>
    <w:link w:val="TextonotapieCar"/>
    <w:uiPriority w:val="99"/>
    <w:semiHidden/>
    <w:unhideWhenUsed/>
    <w:rsid w:val="00ED51B7"/>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ED51B7"/>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ED51B7"/>
    <w:rPr>
      <w:vertAlign w:val="superscript"/>
    </w:rPr>
  </w:style>
  <w:style w:type="paragraph" w:customStyle="1" w:styleId="BodySingle">
    <w:name w:val="Body Single"/>
    <w:basedOn w:val="Textoindependiente"/>
    <w:link w:val="BodySingleChar"/>
    <w:uiPriority w:val="99"/>
    <w:rsid w:val="004270CC"/>
    <w:pPr>
      <w:spacing w:after="0" w:line="260" w:lineRule="atLeast"/>
    </w:pPr>
    <w:rPr>
      <w:rFonts w:ascii="Georgia" w:eastAsia="Times New Roman" w:hAnsi="Georgia"/>
      <w:sz w:val="20"/>
      <w:szCs w:val="20"/>
      <w:lang w:val="en-GB"/>
    </w:rPr>
  </w:style>
  <w:style w:type="character" w:customStyle="1" w:styleId="BodySingleChar">
    <w:name w:val="Body Single Char"/>
    <w:link w:val="BodySingle"/>
    <w:uiPriority w:val="99"/>
    <w:locked/>
    <w:rsid w:val="004270CC"/>
    <w:rPr>
      <w:rFonts w:ascii="Georgia" w:eastAsia="Times New Roman" w:hAnsi="Georgia"/>
      <w:lang w:val="en-GB" w:eastAsia="en-US"/>
    </w:rPr>
  </w:style>
  <w:style w:type="paragraph" w:styleId="Textoindependiente">
    <w:name w:val="Body Text"/>
    <w:basedOn w:val="Normal"/>
    <w:link w:val="TextoindependienteCar"/>
    <w:uiPriority w:val="99"/>
    <w:semiHidden/>
    <w:unhideWhenUsed/>
    <w:rsid w:val="004270CC"/>
    <w:pPr>
      <w:spacing w:after="120"/>
    </w:pPr>
  </w:style>
  <w:style w:type="character" w:customStyle="1" w:styleId="TextoindependienteCar">
    <w:name w:val="Texto independiente Car"/>
    <w:basedOn w:val="Fuentedeprrafopredeter"/>
    <w:link w:val="Textoindependiente"/>
    <w:uiPriority w:val="99"/>
    <w:semiHidden/>
    <w:rsid w:val="004270CC"/>
    <w:rPr>
      <w:sz w:val="22"/>
      <w:szCs w:val="22"/>
      <w:lang w:eastAsia="en-US"/>
    </w:rPr>
  </w:style>
  <w:style w:type="character" w:customStyle="1" w:styleId="Ttulo1Car">
    <w:name w:val="Título 1 Car"/>
    <w:basedOn w:val="Fuentedeprrafopredeter"/>
    <w:link w:val="Ttulo1"/>
    <w:uiPriority w:val="9"/>
    <w:rsid w:val="004270CC"/>
    <w:rPr>
      <w:rFonts w:asciiTheme="majorHAnsi" w:eastAsiaTheme="majorEastAsia" w:hAnsiTheme="majorHAnsi" w:cstheme="majorBidi"/>
      <w:color w:val="2E74B5" w:themeColor="accent1" w:themeShade="BF"/>
      <w:sz w:val="32"/>
      <w:szCs w:val="32"/>
      <w:lang w:eastAsia="en-US"/>
    </w:rPr>
  </w:style>
  <w:style w:type="character" w:customStyle="1" w:styleId="PrrafodelistaCar">
    <w:name w:val="Párrafo de lista Car"/>
    <w:link w:val="Prrafodelista"/>
    <w:uiPriority w:val="34"/>
    <w:locked/>
    <w:rsid w:val="007866A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134253">
      <w:bodyDiv w:val="1"/>
      <w:marLeft w:val="0"/>
      <w:marRight w:val="0"/>
      <w:marTop w:val="0"/>
      <w:marBottom w:val="0"/>
      <w:divBdr>
        <w:top w:val="none" w:sz="0" w:space="0" w:color="auto"/>
        <w:left w:val="none" w:sz="0" w:space="0" w:color="auto"/>
        <w:bottom w:val="none" w:sz="0" w:space="0" w:color="auto"/>
        <w:right w:val="none" w:sz="0" w:space="0" w:color="auto"/>
      </w:divBdr>
    </w:div>
    <w:div w:id="973946141">
      <w:bodyDiv w:val="1"/>
      <w:marLeft w:val="0"/>
      <w:marRight w:val="0"/>
      <w:marTop w:val="0"/>
      <w:marBottom w:val="0"/>
      <w:divBdr>
        <w:top w:val="none" w:sz="0" w:space="0" w:color="auto"/>
        <w:left w:val="none" w:sz="0" w:space="0" w:color="auto"/>
        <w:bottom w:val="none" w:sz="0" w:space="0" w:color="auto"/>
        <w:right w:val="none" w:sz="0" w:space="0" w:color="auto"/>
      </w:divBdr>
    </w:div>
    <w:div w:id="979262815">
      <w:bodyDiv w:val="1"/>
      <w:marLeft w:val="0"/>
      <w:marRight w:val="0"/>
      <w:marTop w:val="0"/>
      <w:marBottom w:val="0"/>
      <w:divBdr>
        <w:top w:val="none" w:sz="0" w:space="0" w:color="auto"/>
        <w:left w:val="none" w:sz="0" w:space="0" w:color="auto"/>
        <w:bottom w:val="none" w:sz="0" w:space="0" w:color="auto"/>
        <w:right w:val="none" w:sz="0" w:space="0" w:color="auto"/>
      </w:divBdr>
    </w:div>
    <w:div w:id="1078751266">
      <w:bodyDiv w:val="1"/>
      <w:marLeft w:val="0"/>
      <w:marRight w:val="0"/>
      <w:marTop w:val="0"/>
      <w:marBottom w:val="0"/>
      <w:divBdr>
        <w:top w:val="none" w:sz="0" w:space="0" w:color="auto"/>
        <w:left w:val="none" w:sz="0" w:space="0" w:color="auto"/>
        <w:bottom w:val="none" w:sz="0" w:space="0" w:color="auto"/>
        <w:right w:val="none" w:sz="0" w:space="0" w:color="auto"/>
      </w:divBdr>
    </w:div>
    <w:div w:id="1190292982">
      <w:bodyDiv w:val="1"/>
      <w:marLeft w:val="0"/>
      <w:marRight w:val="0"/>
      <w:marTop w:val="0"/>
      <w:marBottom w:val="0"/>
      <w:divBdr>
        <w:top w:val="none" w:sz="0" w:space="0" w:color="auto"/>
        <w:left w:val="none" w:sz="0" w:space="0" w:color="auto"/>
        <w:bottom w:val="none" w:sz="0" w:space="0" w:color="auto"/>
        <w:right w:val="none" w:sz="0" w:space="0" w:color="auto"/>
      </w:divBdr>
    </w:div>
    <w:div w:id="152354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ubturismo.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charts/_rels/chart1.xml.rels><?xml version="1.0" encoding="UTF-8" standalone="yes"?>
<Relationships xmlns="http://schemas.openxmlformats.org/package/2006/relationships"><Relationship Id="rId3" Type="http://schemas.openxmlformats.org/officeDocument/2006/relationships/oleObject" Target="file:///D:\Vero\Seguridad%20tur&#237;stica\20160505%20Anexo_V&#237;ctimas_extranjera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Vero\Seguridad%20tur&#237;stica\20160505%20Anexo_V&#237;ctimas_extranjera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s-CL"/>
              <a:t>Víctimas extranjeras y variación por DMCS (Nacional 2005 - 2015)</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manualLayout>
          <c:layoutTarget val="inner"/>
          <c:xMode val="edge"/>
          <c:yMode val="edge"/>
          <c:x val="9.9482737202488153E-2"/>
          <c:y val="0.14344115648645198"/>
          <c:w val="0.84878354869762218"/>
          <c:h val="0.69656483112308343"/>
        </c:manualLayout>
      </c:layout>
      <c:barChart>
        <c:barDir val="col"/>
        <c:grouping val="clustered"/>
        <c:varyColors val="0"/>
        <c:ser>
          <c:idx val="1"/>
          <c:order val="1"/>
          <c:tx>
            <c:strRef>
              <c:f>Nacionalidad!$A$26</c:f>
              <c:strCache>
                <c:ptCount val="1"/>
                <c:pt idx="0">
                  <c:v>Var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Nacionalidad!$B$27:$L$27</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Nacionalidad!$B$26:$L$26</c:f>
              <c:numCache>
                <c:formatCode>0.0%</c:formatCode>
                <c:ptCount val="11"/>
                <c:pt idx="1">
                  <c:v>0.24196313759108445</c:v>
                </c:pt>
                <c:pt idx="2">
                  <c:v>0.27437446074201888</c:v>
                </c:pt>
                <c:pt idx="3">
                  <c:v>8.7745429925524698E-2</c:v>
                </c:pt>
                <c:pt idx="4">
                  <c:v>0.16955060375949205</c:v>
                </c:pt>
                <c:pt idx="5">
                  <c:v>-5.4284193720063323E-3</c:v>
                </c:pt>
                <c:pt idx="6">
                  <c:v>0.24571917808219168</c:v>
                </c:pt>
                <c:pt idx="7">
                  <c:v>8.788659793814424E-2</c:v>
                </c:pt>
                <c:pt idx="8">
                  <c:v>0.13219616204690832</c:v>
                </c:pt>
                <c:pt idx="9">
                  <c:v>0.10239241124363541</c:v>
                </c:pt>
                <c:pt idx="10">
                  <c:v>0.15248339133185707</c:v>
                </c:pt>
              </c:numCache>
            </c:numRef>
          </c:val>
        </c:ser>
        <c:dLbls>
          <c:showLegendKey val="0"/>
          <c:showVal val="0"/>
          <c:showCatName val="0"/>
          <c:showSerName val="0"/>
          <c:showPercent val="0"/>
          <c:showBubbleSize val="0"/>
        </c:dLbls>
        <c:gapWidth val="219"/>
        <c:overlap val="-27"/>
        <c:axId val="401729128"/>
        <c:axId val="401728736"/>
      </c:barChart>
      <c:lineChart>
        <c:grouping val="standard"/>
        <c:varyColors val="0"/>
        <c:ser>
          <c:idx val="0"/>
          <c:order val="0"/>
          <c:tx>
            <c:strRef>
              <c:f>Nacionalidad!$A$25</c:f>
              <c:strCache>
                <c:ptCount val="1"/>
                <c:pt idx="0">
                  <c:v>Total</c:v>
                </c:pt>
              </c:strCache>
            </c:strRef>
          </c:tx>
          <c:spPr>
            <a:ln w="28575" cap="rnd">
              <a:solidFill>
                <a:schemeClr val="accent1"/>
              </a:solidFill>
              <a:round/>
            </a:ln>
            <a:effectLst/>
          </c:spPr>
          <c:marker>
            <c:symbol val="none"/>
          </c:marker>
          <c:dLbls>
            <c:dLbl>
              <c:idx val="4"/>
              <c:layout>
                <c:manualLayout>
                  <c:x val="0"/>
                  <c:y val="3.7006578947368349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2.8261739559782912E-2"/>
                  <c:y val="1.794932397430584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Nacionalidad!$B$27:$L$27</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Nacionalidad!$B$25:$L$25</c:f>
              <c:numCache>
                <c:formatCode>_-* #,##0_-;\-* #,##0_-;_-* "-"??_-;_-@_-</c:formatCode>
                <c:ptCount val="11"/>
                <c:pt idx="0">
                  <c:v>4666</c:v>
                </c:pt>
                <c:pt idx="1">
                  <c:v>5795</c:v>
                </c:pt>
                <c:pt idx="2">
                  <c:v>7385</c:v>
                </c:pt>
                <c:pt idx="3">
                  <c:v>8033</c:v>
                </c:pt>
                <c:pt idx="4">
                  <c:v>9395</c:v>
                </c:pt>
                <c:pt idx="5">
                  <c:v>9344</c:v>
                </c:pt>
                <c:pt idx="6">
                  <c:v>11640</c:v>
                </c:pt>
                <c:pt idx="7">
                  <c:v>12663</c:v>
                </c:pt>
                <c:pt idx="8">
                  <c:v>14337</c:v>
                </c:pt>
                <c:pt idx="9">
                  <c:v>15805</c:v>
                </c:pt>
                <c:pt idx="10">
                  <c:v>18215</c:v>
                </c:pt>
              </c:numCache>
            </c:numRef>
          </c:val>
          <c:smooth val="0"/>
        </c:ser>
        <c:dLbls>
          <c:showLegendKey val="0"/>
          <c:showVal val="0"/>
          <c:showCatName val="0"/>
          <c:showSerName val="0"/>
          <c:showPercent val="0"/>
          <c:showBubbleSize val="0"/>
        </c:dLbls>
        <c:marker val="1"/>
        <c:smooth val="0"/>
        <c:axId val="396073616"/>
        <c:axId val="396074008"/>
      </c:lineChart>
      <c:catAx>
        <c:axId val="396073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L"/>
          </a:p>
        </c:txPr>
        <c:crossAx val="396074008"/>
        <c:crosses val="autoZero"/>
        <c:auto val="1"/>
        <c:lblAlgn val="ctr"/>
        <c:lblOffset val="100"/>
        <c:noMultiLvlLbl val="0"/>
      </c:catAx>
      <c:valAx>
        <c:axId val="396074008"/>
        <c:scaling>
          <c:orientation val="minMax"/>
          <c:max val="23000"/>
          <c:min val="0"/>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L"/>
          </a:p>
        </c:txPr>
        <c:crossAx val="396073616"/>
        <c:crosses val="autoZero"/>
        <c:crossBetween val="between"/>
      </c:valAx>
      <c:valAx>
        <c:axId val="401728736"/>
        <c:scaling>
          <c:orientation val="minMax"/>
          <c:max val="0.30000000000000004"/>
          <c:min val="-1.5"/>
        </c:scaling>
        <c:delete val="0"/>
        <c:axPos val="r"/>
        <c:numFmt formatCode="0.0%" sourceLinked="1"/>
        <c:majorTickMark val="out"/>
        <c:minorTickMark val="none"/>
        <c:tickLblPos val="nextTo"/>
        <c:spPr>
          <a:solidFill>
            <a:schemeClr val="bg1"/>
          </a:solidFill>
          <a:ln>
            <a:noFill/>
          </a:ln>
          <a:effectLst/>
        </c:spPr>
        <c:txPr>
          <a:bodyPr rot="-60000000" spcFirstLastPara="1" vertOverflow="ellipsis" vert="horz" wrap="square" anchor="ctr" anchorCtr="1"/>
          <a:lstStyle/>
          <a:p>
            <a:pPr>
              <a:defRPr sz="1000" b="0" i="0" u="none" strike="noStrike" kern="1200" baseline="0">
                <a:solidFill>
                  <a:schemeClr val="bg1"/>
                </a:solidFill>
                <a:latin typeface="+mn-lt"/>
                <a:ea typeface="+mn-ea"/>
                <a:cs typeface="+mn-cs"/>
              </a:defRPr>
            </a:pPr>
            <a:endParaRPr lang="es-CL"/>
          </a:p>
        </c:txPr>
        <c:crossAx val="401729128"/>
        <c:crosses val="max"/>
        <c:crossBetween val="between"/>
      </c:valAx>
      <c:catAx>
        <c:axId val="401729128"/>
        <c:scaling>
          <c:orientation val="minMax"/>
        </c:scaling>
        <c:delete val="1"/>
        <c:axPos val="b"/>
        <c:numFmt formatCode="General" sourceLinked="1"/>
        <c:majorTickMark val="out"/>
        <c:minorTickMark val="none"/>
        <c:tickLblPos val="nextTo"/>
        <c:crossAx val="401728736"/>
        <c:crosses val="autoZero"/>
        <c:auto val="1"/>
        <c:lblAlgn val="ctr"/>
        <c:lblOffset val="100"/>
        <c:noMultiLvlLbl val="0"/>
      </c:catAx>
      <c:spPr>
        <a:noFill/>
        <a:ln>
          <a:noFill/>
        </a:ln>
        <a:effectLst/>
      </c:spPr>
    </c:plotArea>
    <c:legend>
      <c:legendPos val="b"/>
      <c:layout>
        <c:manualLayout>
          <c:xMode val="edge"/>
          <c:yMode val="edge"/>
          <c:x val="0.66968737818663759"/>
          <c:y val="0.72827749430169897"/>
          <c:w val="0.22388156925928812"/>
          <c:h val="7.4354084645669297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es-C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barChart>
        <c:barDir val="col"/>
        <c:grouping val="clustered"/>
        <c:varyColors val="0"/>
        <c:ser>
          <c:idx val="0"/>
          <c:order val="0"/>
          <c:tx>
            <c:strRef>
              <c:f>Nacionalidad!$E$39</c:f>
              <c:strCache>
                <c:ptCount val="1"/>
                <c:pt idx="0">
                  <c:v>Victimas/Turistas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Nacionalidad!$F$38:$L$38</c:f>
              <c:numCache>
                <c:formatCode>General</c:formatCode>
                <c:ptCount val="7"/>
                <c:pt idx="0">
                  <c:v>2009</c:v>
                </c:pt>
                <c:pt idx="1">
                  <c:v>2010</c:v>
                </c:pt>
                <c:pt idx="2">
                  <c:v>2011</c:v>
                </c:pt>
                <c:pt idx="3">
                  <c:v>2012</c:v>
                </c:pt>
                <c:pt idx="4">
                  <c:v>2013</c:v>
                </c:pt>
                <c:pt idx="5">
                  <c:v>2014</c:v>
                </c:pt>
                <c:pt idx="6">
                  <c:v>2015</c:v>
                </c:pt>
              </c:numCache>
            </c:numRef>
          </c:cat>
          <c:val>
            <c:numRef>
              <c:f>Nacionalidad!$F$39:$L$39</c:f>
              <c:numCache>
                <c:formatCode>0.00%</c:formatCode>
                <c:ptCount val="7"/>
                <c:pt idx="0">
                  <c:v>3.404361713885049E-3</c:v>
                </c:pt>
                <c:pt idx="1">
                  <c:v>3.3363838298215726E-3</c:v>
                </c:pt>
                <c:pt idx="2">
                  <c:v>3.7102144051305509E-3</c:v>
                </c:pt>
                <c:pt idx="3">
                  <c:v>3.5627478878276016E-3</c:v>
                </c:pt>
                <c:pt idx="4">
                  <c:v>4.0089994866064687E-3</c:v>
                </c:pt>
                <c:pt idx="5">
                  <c:v>4.3013930743897423E-3</c:v>
                </c:pt>
                <c:pt idx="6">
                  <c:v>4.0673589476091119E-3</c:v>
                </c:pt>
              </c:numCache>
            </c:numRef>
          </c:val>
        </c:ser>
        <c:dLbls>
          <c:showLegendKey val="0"/>
          <c:showVal val="0"/>
          <c:showCatName val="0"/>
          <c:showSerName val="0"/>
          <c:showPercent val="0"/>
          <c:showBubbleSize val="0"/>
        </c:dLbls>
        <c:gapWidth val="219"/>
        <c:overlap val="-27"/>
        <c:axId val="390711664"/>
        <c:axId val="391764688"/>
      </c:barChart>
      <c:catAx>
        <c:axId val="390711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391764688"/>
        <c:crosses val="autoZero"/>
        <c:auto val="1"/>
        <c:lblAlgn val="ctr"/>
        <c:lblOffset val="100"/>
        <c:noMultiLvlLbl val="0"/>
      </c:catAx>
      <c:valAx>
        <c:axId val="3917646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390711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34A62-7656-48D6-BDF3-E4608609A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Pages>
  <Words>818</Words>
  <Characters>4499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Subsecretaria de Economia</Company>
  <LinksUpToDate>false</LinksUpToDate>
  <CharactersWithSpaces>5307</CharactersWithSpaces>
  <SharedDoc>false</SharedDoc>
  <HLinks>
    <vt:vector size="6" baseType="variant">
      <vt:variant>
        <vt:i4>4718681</vt:i4>
      </vt:variant>
      <vt:variant>
        <vt:i4>0</vt:i4>
      </vt:variant>
      <vt:variant>
        <vt:i4>0</vt:i4>
      </vt:variant>
      <vt:variant>
        <vt:i4>5</vt:i4>
      </vt:variant>
      <vt:variant>
        <vt:lpwstr>http://www.subturismo.gob.cl/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Vania Retamales</dc:creator>
  <cp:keywords/>
  <cp:lastModifiedBy>Verónica Ilse Kunze Neubauer</cp:lastModifiedBy>
  <cp:revision>4</cp:revision>
  <cp:lastPrinted>2015-09-23T19:13:00Z</cp:lastPrinted>
  <dcterms:created xsi:type="dcterms:W3CDTF">2016-05-12T18:14:00Z</dcterms:created>
  <dcterms:modified xsi:type="dcterms:W3CDTF">2016-05-12T20:17:00Z</dcterms:modified>
</cp:coreProperties>
</file>