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092CA" w14:textId="31CC5056" w:rsidR="00865056" w:rsidRPr="00865056" w:rsidRDefault="00865056" w:rsidP="00865056">
      <w:pPr>
        <w:spacing w:after="0"/>
        <w:jc w:val="center"/>
        <w:rPr>
          <w:b/>
        </w:rPr>
      </w:pPr>
      <w:r w:rsidRPr="00865056">
        <w:rPr>
          <w:b/>
        </w:rPr>
        <w:t>MINUTA</w:t>
      </w:r>
    </w:p>
    <w:p w14:paraId="24D29D3C" w14:textId="44C85943" w:rsidR="00DE45C0" w:rsidRDefault="00865056" w:rsidP="00865056">
      <w:pPr>
        <w:spacing w:after="0"/>
        <w:jc w:val="center"/>
        <w:rPr>
          <w:b/>
        </w:rPr>
      </w:pPr>
      <w:r w:rsidRPr="00865056">
        <w:rPr>
          <w:b/>
        </w:rPr>
        <w:t>C</w:t>
      </w:r>
      <w:r>
        <w:rPr>
          <w:b/>
        </w:rPr>
        <w:t>ifras Económicas en Turismo</w:t>
      </w:r>
    </w:p>
    <w:p w14:paraId="22F3B561" w14:textId="77777777" w:rsidR="00865056" w:rsidRDefault="00865056" w:rsidP="00865056">
      <w:pPr>
        <w:spacing w:after="0"/>
        <w:jc w:val="both"/>
        <w:rPr>
          <w:b/>
        </w:rPr>
      </w:pPr>
    </w:p>
    <w:p w14:paraId="6C2054EB" w14:textId="7DADE2A0" w:rsidR="00865056" w:rsidRPr="00865056" w:rsidRDefault="00865056" w:rsidP="00865056">
      <w:pPr>
        <w:pStyle w:val="Prrafodelista"/>
        <w:numPr>
          <w:ilvl w:val="0"/>
          <w:numId w:val="25"/>
        </w:numPr>
        <w:spacing w:after="0"/>
        <w:jc w:val="both"/>
        <w:rPr>
          <w:rFonts w:asciiTheme="minorHAnsi" w:hAnsiTheme="minorHAnsi"/>
          <w:b/>
        </w:rPr>
      </w:pPr>
      <w:r w:rsidRPr="00865056">
        <w:rPr>
          <w:rFonts w:asciiTheme="minorHAnsi" w:hAnsiTheme="minorHAnsi"/>
          <w:b/>
        </w:rPr>
        <w:t>Llegadas y divisas</w:t>
      </w:r>
    </w:p>
    <w:p w14:paraId="695F0774" w14:textId="77777777" w:rsidR="00865056" w:rsidRPr="00865056" w:rsidRDefault="00865056" w:rsidP="00865056">
      <w:pPr>
        <w:pStyle w:val="Prrafodelista"/>
        <w:spacing w:after="0"/>
        <w:jc w:val="both"/>
        <w:rPr>
          <w:rFonts w:asciiTheme="minorHAnsi" w:hAnsiTheme="minorHAnsi"/>
        </w:rPr>
      </w:pPr>
    </w:p>
    <w:p w14:paraId="7A81FD1D" w14:textId="34C5279C" w:rsidR="00865056" w:rsidRDefault="00865056" w:rsidP="00865056">
      <w:pPr>
        <w:spacing w:after="0"/>
        <w:jc w:val="both"/>
        <w:rPr>
          <w:rFonts w:asciiTheme="minorHAnsi" w:hAnsiTheme="minorHAnsi"/>
        </w:rPr>
      </w:pPr>
      <w:r w:rsidRPr="00DA1E7D">
        <w:rPr>
          <w:rFonts w:asciiTheme="minorHAnsi" w:hAnsiTheme="minorHAnsi"/>
        </w:rPr>
        <w:t>Entre los años 200</w:t>
      </w:r>
      <w:r w:rsidR="00B87FE3">
        <w:rPr>
          <w:rFonts w:asciiTheme="minorHAnsi" w:hAnsiTheme="minorHAnsi"/>
        </w:rPr>
        <w:t>5</w:t>
      </w:r>
      <w:r w:rsidRPr="00DA1E7D">
        <w:rPr>
          <w:rFonts w:asciiTheme="minorHAnsi" w:hAnsiTheme="minorHAnsi"/>
        </w:rPr>
        <w:t xml:space="preserve"> y 2015 el aumento de llegadas de turistas internacionales al país se ha</w:t>
      </w:r>
      <w:r w:rsidR="00165961">
        <w:rPr>
          <w:rFonts w:asciiTheme="minorHAnsi" w:hAnsiTheme="minorHAnsi"/>
        </w:rPr>
        <w:t xml:space="preserve"> más que duplicado, ya que presenta un </w:t>
      </w:r>
      <w:r w:rsidRPr="00DA1E7D">
        <w:rPr>
          <w:rFonts w:asciiTheme="minorHAnsi" w:hAnsiTheme="minorHAnsi"/>
        </w:rPr>
        <w:t>increment</w:t>
      </w:r>
      <w:r w:rsidR="00165961">
        <w:rPr>
          <w:rFonts w:asciiTheme="minorHAnsi" w:hAnsiTheme="minorHAnsi"/>
        </w:rPr>
        <w:t>o acumulado en el período de</w:t>
      </w:r>
      <w:r w:rsidRPr="00DA1E7D">
        <w:rPr>
          <w:rFonts w:asciiTheme="minorHAnsi" w:hAnsiTheme="minorHAnsi"/>
        </w:rPr>
        <w:t xml:space="preserve"> en un 1</w:t>
      </w:r>
      <w:r w:rsidR="00165961">
        <w:rPr>
          <w:rFonts w:asciiTheme="minorHAnsi" w:hAnsiTheme="minorHAnsi"/>
        </w:rPr>
        <w:t>16</w:t>
      </w:r>
      <w:r w:rsidRPr="00DA1E7D">
        <w:rPr>
          <w:rFonts w:asciiTheme="minorHAnsi" w:hAnsiTheme="minorHAnsi"/>
        </w:rPr>
        <w:t xml:space="preserve">%, lo que implica un crecimiento promedio </w:t>
      </w:r>
      <w:r w:rsidRPr="00372508">
        <w:rPr>
          <w:rFonts w:asciiTheme="minorHAnsi" w:hAnsiTheme="minorHAnsi"/>
        </w:rPr>
        <w:t xml:space="preserve">anual de un </w:t>
      </w:r>
      <w:r w:rsidR="00165961">
        <w:rPr>
          <w:rFonts w:asciiTheme="minorHAnsi" w:hAnsiTheme="minorHAnsi"/>
        </w:rPr>
        <w:t>8</w:t>
      </w:r>
      <w:r w:rsidRPr="00372508">
        <w:rPr>
          <w:rFonts w:asciiTheme="minorHAnsi" w:hAnsiTheme="minorHAnsi"/>
        </w:rPr>
        <w:t>,</w:t>
      </w:r>
      <w:r w:rsidR="00165961">
        <w:rPr>
          <w:rFonts w:asciiTheme="minorHAnsi" w:hAnsiTheme="minorHAnsi"/>
        </w:rPr>
        <w:t>0</w:t>
      </w:r>
      <w:r w:rsidRPr="00372508">
        <w:rPr>
          <w:rFonts w:asciiTheme="minorHAnsi" w:hAnsiTheme="minorHAnsi"/>
        </w:rPr>
        <w:t>%.</w:t>
      </w:r>
    </w:p>
    <w:p w14:paraId="7468A2B9" w14:textId="77777777" w:rsidR="00865056" w:rsidRDefault="00865056" w:rsidP="00865056">
      <w:pPr>
        <w:spacing w:after="0"/>
        <w:jc w:val="both"/>
        <w:rPr>
          <w:rFonts w:asciiTheme="minorHAnsi" w:hAnsiTheme="minorHAnsi"/>
        </w:rPr>
      </w:pPr>
    </w:p>
    <w:p w14:paraId="6A3AB3FF" w14:textId="068240E9" w:rsidR="00865056" w:rsidRDefault="00865056" w:rsidP="00865056">
      <w:pPr>
        <w:spacing w:after="0"/>
        <w:jc w:val="both"/>
        <w:rPr>
          <w:rFonts w:asciiTheme="minorHAnsi" w:hAnsiTheme="minorHAnsi"/>
          <w:lang w:val="es-ES_tradnl"/>
        </w:rPr>
      </w:pPr>
      <w:r w:rsidRPr="00DA1E7D">
        <w:rPr>
          <w:rFonts w:asciiTheme="minorHAnsi" w:hAnsiTheme="minorHAnsi"/>
        </w:rPr>
        <w:t xml:space="preserve">El incremento en la llegada de turistas ha estado acompañado con incrementos en el ingreso de divisas provenientes del gasto de los turistas extranjeros. </w:t>
      </w:r>
      <w:r w:rsidRPr="00DA1E7D">
        <w:rPr>
          <w:rFonts w:asciiTheme="minorHAnsi" w:hAnsiTheme="minorHAnsi"/>
          <w:lang w:val="es-ES_tradnl"/>
        </w:rPr>
        <w:t xml:space="preserve">El ingreso de divisas por Turismo </w:t>
      </w:r>
      <w:r w:rsidR="00165961">
        <w:rPr>
          <w:rFonts w:asciiTheme="minorHAnsi" w:hAnsiTheme="minorHAnsi"/>
          <w:lang w:val="es-ES_tradnl"/>
        </w:rPr>
        <w:t xml:space="preserve">también </w:t>
      </w:r>
      <w:r w:rsidRPr="00DA1E7D">
        <w:rPr>
          <w:rFonts w:asciiTheme="minorHAnsi" w:hAnsiTheme="minorHAnsi"/>
          <w:lang w:val="es-ES_tradnl"/>
        </w:rPr>
        <w:t>se ha más que duplicado en los últimos 10 años</w:t>
      </w:r>
      <w:r w:rsidRPr="00DA1E7D">
        <w:rPr>
          <w:rStyle w:val="Refdenotaalpie"/>
          <w:rFonts w:asciiTheme="minorHAnsi" w:hAnsiTheme="minorHAnsi"/>
          <w:lang w:val="es-ES_tradnl"/>
        </w:rPr>
        <w:footnoteReference w:id="1"/>
      </w:r>
      <w:r w:rsidRPr="00DA1E7D">
        <w:rPr>
          <w:rFonts w:asciiTheme="minorHAnsi" w:hAnsiTheme="minorHAnsi"/>
          <w:lang w:val="es-ES_tradnl"/>
        </w:rPr>
        <w:t xml:space="preserve">, pasando de US$1.324 millones el 2005 a US$2.910 millones el 2015, con una tasa de crecimiento media </w:t>
      </w:r>
      <w:r w:rsidRPr="00372508">
        <w:rPr>
          <w:rFonts w:asciiTheme="minorHAnsi" w:hAnsiTheme="minorHAnsi"/>
          <w:lang w:val="es-ES_tradnl"/>
        </w:rPr>
        <w:t xml:space="preserve">anual de </w:t>
      </w:r>
      <w:r w:rsidR="00165961">
        <w:rPr>
          <w:rFonts w:asciiTheme="minorHAnsi" w:hAnsiTheme="minorHAnsi"/>
          <w:lang w:val="es-ES_tradnl"/>
        </w:rPr>
        <w:t>8</w:t>
      </w:r>
      <w:r w:rsidRPr="00372508">
        <w:rPr>
          <w:rFonts w:asciiTheme="minorHAnsi" w:hAnsiTheme="minorHAnsi"/>
          <w:lang w:val="es-ES_tradnl"/>
        </w:rPr>
        <w:t>,2% en estos 10</w:t>
      </w:r>
      <w:r w:rsidRPr="00DA1E7D">
        <w:rPr>
          <w:rFonts w:asciiTheme="minorHAnsi" w:hAnsiTheme="minorHAnsi"/>
          <w:lang w:val="es-ES_tradnl"/>
        </w:rPr>
        <w:t xml:space="preserve"> años. </w:t>
      </w:r>
    </w:p>
    <w:p w14:paraId="038CD37A" w14:textId="77777777" w:rsidR="00865056" w:rsidRDefault="00865056" w:rsidP="00865056">
      <w:pPr>
        <w:spacing w:after="0"/>
        <w:jc w:val="both"/>
        <w:rPr>
          <w:rFonts w:asciiTheme="minorHAnsi" w:hAnsiTheme="minorHAnsi"/>
          <w:lang w:val="es-ES_tradnl"/>
        </w:rPr>
      </w:pPr>
    </w:p>
    <w:p w14:paraId="4FA8103B" w14:textId="77777777" w:rsidR="00865056" w:rsidRPr="00DA1E7D" w:rsidRDefault="00865056" w:rsidP="00865056">
      <w:pPr>
        <w:spacing w:after="0" w:line="240" w:lineRule="auto"/>
        <w:jc w:val="center"/>
        <w:rPr>
          <w:rFonts w:asciiTheme="minorHAnsi" w:hAnsiTheme="minorHAnsi"/>
          <w:b/>
        </w:rPr>
      </w:pPr>
      <w:r w:rsidRPr="00DA1E7D">
        <w:rPr>
          <w:rFonts w:asciiTheme="minorHAnsi" w:hAnsiTheme="minorHAnsi"/>
          <w:b/>
        </w:rPr>
        <w:t>Llegada de Turistas (miles) y variación anual (%)</w:t>
      </w:r>
    </w:p>
    <w:p w14:paraId="4C9998FB" w14:textId="2556D703" w:rsidR="00865056" w:rsidRDefault="00865056" w:rsidP="00865056">
      <w:pPr>
        <w:spacing w:after="0"/>
        <w:jc w:val="center"/>
        <w:rPr>
          <w:rFonts w:asciiTheme="minorHAnsi" w:hAnsiTheme="minorHAnsi"/>
          <w:lang w:val="es-ES_tradnl"/>
        </w:rPr>
      </w:pPr>
      <w:r w:rsidRPr="00DA1E7D">
        <w:rPr>
          <w:rFonts w:asciiTheme="minorHAnsi" w:hAnsiTheme="minorHAnsi"/>
          <w:noProof/>
          <w:lang w:eastAsia="es-CL"/>
        </w:rPr>
        <w:drawing>
          <wp:inline distT="0" distB="0" distL="0" distR="0" wp14:anchorId="0F835B45" wp14:editId="3D511CFD">
            <wp:extent cx="4819650" cy="290512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F03327" w14:textId="77777777" w:rsidR="00865056" w:rsidRPr="00865056" w:rsidRDefault="00865056" w:rsidP="00865056">
      <w:pPr>
        <w:spacing w:before="240"/>
        <w:ind w:right="49"/>
        <w:jc w:val="both"/>
        <w:rPr>
          <w:rFonts w:asciiTheme="minorHAnsi" w:hAnsiTheme="minorHAnsi"/>
          <w:sz w:val="18"/>
          <w:szCs w:val="18"/>
        </w:rPr>
      </w:pPr>
      <w:r w:rsidRPr="00865056">
        <w:rPr>
          <w:rFonts w:asciiTheme="minorHAnsi" w:hAnsiTheme="minorHAnsi"/>
          <w:sz w:val="18"/>
          <w:szCs w:val="18"/>
        </w:rPr>
        <w:t>Fuente: elaboración propia en base a información de Policía Internacional.</w:t>
      </w:r>
    </w:p>
    <w:p w14:paraId="2F355B16" w14:textId="77777777" w:rsidR="00865056" w:rsidRDefault="00865056" w:rsidP="00865056">
      <w:pPr>
        <w:spacing w:before="240"/>
        <w:ind w:right="49"/>
        <w:jc w:val="center"/>
        <w:rPr>
          <w:rFonts w:asciiTheme="minorHAnsi" w:hAnsiTheme="minorHAnsi"/>
          <w:b/>
        </w:rPr>
      </w:pPr>
    </w:p>
    <w:p w14:paraId="2CF42001" w14:textId="77777777" w:rsidR="00865056" w:rsidRDefault="00865056" w:rsidP="00865056">
      <w:pPr>
        <w:spacing w:before="240"/>
        <w:ind w:right="49"/>
        <w:jc w:val="center"/>
        <w:rPr>
          <w:rFonts w:asciiTheme="minorHAnsi" w:hAnsiTheme="minorHAnsi"/>
          <w:b/>
        </w:rPr>
      </w:pPr>
    </w:p>
    <w:p w14:paraId="2C7C8501" w14:textId="77777777" w:rsidR="00865056" w:rsidRDefault="00865056" w:rsidP="00865056">
      <w:pPr>
        <w:spacing w:before="240"/>
        <w:ind w:right="49"/>
        <w:jc w:val="center"/>
        <w:rPr>
          <w:rFonts w:asciiTheme="minorHAnsi" w:hAnsiTheme="minorHAnsi"/>
          <w:b/>
        </w:rPr>
      </w:pPr>
    </w:p>
    <w:p w14:paraId="10B9721F" w14:textId="77777777" w:rsidR="005138CE" w:rsidRDefault="005138CE">
      <w:pPr>
        <w:spacing w:after="0" w:line="240" w:lineRule="auto"/>
        <w:rPr>
          <w:rFonts w:asciiTheme="minorHAnsi" w:hAnsiTheme="minorHAnsi"/>
          <w:b/>
        </w:rPr>
      </w:pPr>
      <w:r>
        <w:rPr>
          <w:rFonts w:asciiTheme="minorHAnsi" w:hAnsiTheme="minorHAnsi"/>
          <w:b/>
        </w:rPr>
        <w:br w:type="page"/>
      </w:r>
    </w:p>
    <w:p w14:paraId="11060688" w14:textId="0DBC6D4A" w:rsidR="00865056" w:rsidRPr="00DA1E7D" w:rsidRDefault="00865056" w:rsidP="00865056">
      <w:pPr>
        <w:spacing w:before="240"/>
        <w:ind w:right="49"/>
        <w:jc w:val="center"/>
        <w:rPr>
          <w:rFonts w:asciiTheme="minorHAnsi" w:hAnsiTheme="minorHAnsi"/>
          <w:b/>
        </w:rPr>
      </w:pPr>
      <w:r w:rsidRPr="00DA1E7D">
        <w:rPr>
          <w:rFonts w:asciiTheme="minorHAnsi" w:hAnsiTheme="minorHAnsi"/>
          <w:b/>
        </w:rPr>
        <w:lastRenderedPageBreak/>
        <w:t>Llegada de turistas por países, continentes y variación (%)</w:t>
      </w:r>
    </w:p>
    <w:p w14:paraId="17F2A145" w14:textId="52218572" w:rsidR="00865056" w:rsidRPr="00865056" w:rsidRDefault="00865056" w:rsidP="00865056">
      <w:pPr>
        <w:spacing w:after="0"/>
        <w:jc w:val="center"/>
        <w:rPr>
          <w:rFonts w:asciiTheme="minorHAnsi" w:hAnsiTheme="minorHAnsi"/>
        </w:rPr>
      </w:pPr>
      <w:r w:rsidRPr="00DA1E7D">
        <w:rPr>
          <w:rFonts w:asciiTheme="minorHAnsi" w:hAnsiTheme="minorHAnsi"/>
          <w:noProof/>
          <w:lang w:eastAsia="es-CL"/>
        </w:rPr>
        <w:drawing>
          <wp:inline distT="0" distB="0" distL="0" distR="0" wp14:anchorId="6B0934C9" wp14:editId="2B7897B4">
            <wp:extent cx="5613400" cy="3199591"/>
            <wp:effectExtent l="0" t="0" r="635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400" cy="3199591"/>
                    </a:xfrm>
                    <a:prstGeom prst="rect">
                      <a:avLst/>
                    </a:prstGeom>
                    <a:noFill/>
                    <a:ln>
                      <a:noFill/>
                    </a:ln>
                  </pic:spPr>
                </pic:pic>
              </a:graphicData>
            </a:graphic>
          </wp:inline>
        </w:drawing>
      </w:r>
    </w:p>
    <w:p w14:paraId="72E89363" w14:textId="77777777" w:rsidR="00865056" w:rsidRDefault="00865056" w:rsidP="00865056">
      <w:pPr>
        <w:spacing w:before="240"/>
        <w:ind w:right="49"/>
        <w:jc w:val="both"/>
        <w:rPr>
          <w:rFonts w:asciiTheme="minorHAnsi" w:hAnsiTheme="minorHAnsi"/>
          <w:sz w:val="18"/>
          <w:szCs w:val="18"/>
        </w:rPr>
      </w:pPr>
      <w:r w:rsidRPr="00865056">
        <w:rPr>
          <w:rFonts w:asciiTheme="minorHAnsi" w:hAnsiTheme="minorHAnsi"/>
          <w:sz w:val="18"/>
          <w:szCs w:val="18"/>
        </w:rPr>
        <w:t>Fuente: elaboración propia en base a información de Policía Internacional.</w:t>
      </w:r>
    </w:p>
    <w:p w14:paraId="0C83C0C7" w14:textId="77777777" w:rsidR="00865056" w:rsidRPr="00865056" w:rsidRDefault="00865056" w:rsidP="00865056">
      <w:pPr>
        <w:spacing w:before="240"/>
        <w:ind w:right="49"/>
        <w:jc w:val="both"/>
        <w:rPr>
          <w:rFonts w:asciiTheme="minorHAnsi" w:hAnsiTheme="minorHAnsi"/>
          <w:sz w:val="18"/>
          <w:szCs w:val="18"/>
        </w:rPr>
      </w:pPr>
    </w:p>
    <w:p w14:paraId="052F8EBE" w14:textId="77777777" w:rsidR="00865056" w:rsidRPr="00DA1E7D" w:rsidRDefault="00865056" w:rsidP="00865056">
      <w:pPr>
        <w:spacing w:after="0" w:line="240" w:lineRule="auto"/>
        <w:jc w:val="center"/>
        <w:rPr>
          <w:rFonts w:asciiTheme="minorHAnsi" w:hAnsiTheme="minorHAnsi"/>
          <w:b/>
        </w:rPr>
      </w:pPr>
      <w:r w:rsidRPr="00DA1E7D">
        <w:rPr>
          <w:rFonts w:asciiTheme="minorHAnsi" w:hAnsiTheme="minorHAnsi"/>
          <w:b/>
        </w:rPr>
        <w:t>Ingreso de divisas (millones US$) y variación anual (%)</w:t>
      </w:r>
    </w:p>
    <w:p w14:paraId="6D377A3B" w14:textId="77777777" w:rsidR="00865056" w:rsidRDefault="00865056" w:rsidP="00865056">
      <w:pPr>
        <w:spacing w:after="0"/>
        <w:jc w:val="both"/>
        <w:rPr>
          <w:b/>
        </w:rPr>
      </w:pPr>
    </w:p>
    <w:p w14:paraId="672B71A6" w14:textId="77777777" w:rsidR="00865056" w:rsidRDefault="00865056" w:rsidP="00865056">
      <w:pPr>
        <w:spacing w:after="0"/>
        <w:jc w:val="center"/>
        <w:rPr>
          <w:b/>
        </w:rPr>
      </w:pPr>
      <w:r w:rsidRPr="00DA1E7D">
        <w:rPr>
          <w:rFonts w:asciiTheme="minorHAnsi" w:hAnsiTheme="minorHAnsi"/>
          <w:noProof/>
          <w:lang w:eastAsia="es-CL"/>
        </w:rPr>
        <w:drawing>
          <wp:inline distT="0" distB="0" distL="0" distR="0" wp14:anchorId="512AB15F" wp14:editId="6DE375EE">
            <wp:extent cx="4429125" cy="27432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B43FB6" w14:textId="74F6FC15" w:rsidR="00865056" w:rsidRPr="00865056" w:rsidRDefault="00865056" w:rsidP="00865056">
      <w:pPr>
        <w:spacing w:after="0"/>
        <w:jc w:val="both"/>
        <w:rPr>
          <w:b/>
          <w:sz w:val="18"/>
          <w:szCs w:val="18"/>
        </w:rPr>
      </w:pPr>
      <w:r w:rsidRPr="00865056">
        <w:rPr>
          <w:b/>
          <w:sz w:val="18"/>
          <w:szCs w:val="18"/>
        </w:rPr>
        <w:t xml:space="preserve">               </w:t>
      </w:r>
      <w:r w:rsidRPr="00865056">
        <w:rPr>
          <w:rFonts w:asciiTheme="minorHAnsi" w:hAnsiTheme="minorHAnsi"/>
          <w:sz w:val="18"/>
          <w:szCs w:val="18"/>
        </w:rPr>
        <w:t>Fuente: Turismo receptivo, Subsecretaría de Turismo - Sernatur</w:t>
      </w:r>
    </w:p>
    <w:p w14:paraId="250D3FE4" w14:textId="77777777" w:rsidR="00865056" w:rsidRPr="00865056" w:rsidRDefault="00865056">
      <w:pPr>
        <w:spacing w:after="0" w:line="240" w:lineRule="auto"/>
        <w:rPr>
          <w:b/>
        </w:rPr>
      </w:pPr>
    </w:p>
    <w:p w14:paraId="49769F88" w14:textId="146C5AA9" w:rsidR="00E95F72" w:rsidRPr="005138CE" w:rsidRDefault="00372508" w:rsidP="005138CE">
      <w:pPr>
        <w:pStyle w:val="Prrafodelista"/>
        <w:numPr>
          <w:ilvl w:val="0"/>
          <w:numId w:val="25"/>
        </w:numPr>
        <w:spacing w:after="0" w:line="240" w:lineRule="auto"/>
        <w:rPr>
          <w:b/>
          <w:lang w:val="es-ES_tradnl"/>
        </w:rPr>
      </w:pPr>
      <w:r w:rsidRPr="005138CE">
        <w:rPr>
          <w:b/>
          <w:lang w:val="es-ES_tradnl"/>
        </w:rPr>
        <w:br w:type="page"/>
      </w:r>
      <w:r w:rsidR="00E95F72" w:rsidRPr="005138CE">
        <w:rPr>
          <w:b/>
          <w:lang w:val="es-ES_tradnl"/>
        </w:rPr>
        <w:lastRenderedPageBreak/>
        <w:t>Gasto Turístico</w:t>
      </w:r>
    </w:p>
    <w:p w14:paraId="44F26545" w14:textId="77777777" w:rsidR="00E95F72" w:rsidRDefault="00E95F72" w:rsidP="00E95F72">
      <w:pPr>
        <w:spacing w:after="0"/>
        <w:jc w:val="both"/>
        <w:rPr>
          <w:b/>
          <w:lang w:val="es-ES_tradnl"/>
        </w:rPr>
      </w:pPr>
    </w:p>
    <w:p w14:paraId="03998AEE" w14:textId="6168002F" w:rsidR="00E95F72" w:rsidRDefault="00E95F72" w:rsidP="00E95F72">
      <w:pPr>
        <w:spacing w:after="0"/>
        <w:jc w:val="both"/>
        <w:rPr>
          <w:lang w:val="es-ES_tradnl"/>
        </w:rPr>
      </w:pPr>
      <w:r w:rsidRPr="00E95F72">
        <w:rPr>
          <w:lang w:val="es-ES_tradnl"/>
        </w:rPr>
        <w:t xml:space="preserve">El gasto turístico se puede medir para el turismo internacional (receptivo y emisivo) y para el turismo interno. </w:t>
      </w:r>
      <w:r>
        <w:rPr>
          <w:lang w:val="es-ES_tradnl"/>
        </w:rPr>
        <w:t>Al analizar el gasto del turismo receptivo vs turismo emisivo, evaluando una balanza de pagos del turismo, se puede apreciar que esta es positiva, donde las divisas que entran al país son mayores que las que salen por los residentes en Chile que viajan al extranjero.</w:t>
      </w:r>
    </w:p>
    <w:p w14:paraId="5F0BC3EB" w14:textId="77777777" w:rsidR="00E95F72" w:rsidRDefault="00E95F72" w:rsidP="00E95F72">
      <w:pPr>
        <w:spacing w:after="0"/>
        <w:jc w:val="both"/>
        <w:rPr>
          <w:lang w:val="es-ES_tradnl"/>
        </w:rPr>
      </w:pPr>
    </w:p>
    <w:tbl>
      <w:tblPr>
        <w:tblW w:w="7120" w:type="dxa"/>
        <w:jc w:val="center"/>
        <w:tblCellMar>
          <w:left w:w="70" w:type="dxa"/>
          <w:right w:w="70" w:type="dxa"/>
        </w:tblCellMar>
        <w:tblLook w:val="04A0" w:firstRow="1" w:lastRow="0" w:firstColumn="1" w:lastColumn="0" w:noHBand="0" w:noVBand="1"/>
      </w:tblPr>
      <w:tblGrid>
        <w:gridCol w:w="1875"/>
        <w:gridCol w:w="1308"/>
        <w:gridCol w:w="1308"/>
        <w:gridCol w:w="1308"/>
        <w:gridCol w:w="1321"/>
      </w:tblGrid>
      <w:tr w:rsidR="00E95F72" w:rsidRPr="00572B7C" w14:paraId="722EC294" w14:textId="77777777" w:rsidTr="00F132D6">
        <w:trPr>
          <w:trHeight w:val="315"/>
          <w:jc w:val="center"/>
        </w:trPr>
        <w:tc>
          <w:tcPr>
            <w:tcW w:w="7120" w:type="dxa"/>
            <w:gridSpan w:val="5"/>
            <w:tcBorders>
              <w:top w:val="nil"/>
              <w:left w:val="nil"/>
              <w:bottom w:val="single" w:sz="8" w:space="0" w:color="auto"/>
              <w:right w:val="nil"/>
            </w:tcBorders>
            <w:shd w:val="clear" w:color="auto" w:fill="auto"/>
            <w:noWrap/>
            <w:vAlign w:val="bottom"/>
            <w:hideMark/>
          </w:tcPr>
          <w:p w14:paraId="0C4FF320"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Gasto Turístico (</w:t>
            </w:r>
            <w:proofErr w:type="spellStart"/>
            <w:r w:rsidRPr="00572B7C">
              <w:rPr>
                <w:rFonts w:eastAsia="Times New Roman"/>
                <w:b/>
                <w:bCs/>
                <w:color w:val="000000"/>
                <w:lang w:eastAsia="es-CL"/>
              </w:rPr>
              <w:t>US$mill</w:t>
            </w:r>
            <w:proofErr w:type="spellEnd"/>
            <w:r w:rsidRPr="00572B7C">
              <w:rPr>
                <w:rFonts w:eastAsia="Times New Roman"/>
                <w:b/>
                <w:bCs/>
                <w:color w:val="000000"/>
                <w:lang w:eastAsia="es-CL"/>
              </w:rPr>
              <w:t>)</w:t>
            </w:r>
          </w:p>
        </w:tc>
      </w:tr>
      <w:tr w:rsidR="00E95F72" w:rsidRPr="00572B7C" w14:paraId="64AD1F47" w14:textId="77777777" w:rsidTr="00F132D6">
        <w:trPr>
          <w:trHeight w:val="300"/>
          <w:jc w:val="center"/>
        </w:trPr>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06EB8B33"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w:t>
            </w:r>
          </w:p>
        </w:tc>
        <w:tc>
          <w:tcPr>
            <w:tcW w:w="1308" w:type="dxa"/>
            <w:tcBorders>
              <w:top w:val="nil"/>
              <w:left w:val="nil"/>
              <w:bottom w:val="single" w:sz="4" w:space="0" w:color="auto"/>
              <w:right w:val="single" w:sz="4" w:space="0" w:color="auto"/>
            </w:tcBorders>
            <w:shd w:val="clear" w:color="auto" w:fill="auto"/>
            <w:noWrap/>
            <w:vAlign w:val="bottom"/>
            <w:hideMark/>
          </w:tcPr>
          <w:p w14:paraId="1547D881"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2012</w:t>
            </w:r>
          </w:p>
        </w:tc>
        <w:tc>
          <w:tcPr>
            <w:tcW w:w="1308" w:type="dxa"/>
            <w:tcBorders>
              <w:top w:val="nil"/>
              <w:left w:val="nil"/>
              <w:bottom w:val="single" w:sz="4" w:space="0" w:color="auto"/>
              <w:right w:val="single" w:sz="4" w:space="0" w:color="auto"/>
            </w:tcBorders>
            <w:shd w:val="clear" w:color="auto" w:fill="auto"/>
            <w:noWrap/>
            <w:vAlign w:val="bottom"/>
            <w:hideMark/>
          </w:tcPr>
          <w:p w14:paraId="00499074"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2013</w:t>
            </w:r>
          </w:p>
        </w:tc>
        <w:tc>
          <w:tcPr>
            <w:tcW w:w="1308" w:type="dxa"/>
            <w:tcBorders>
              <w:top w:val="nil"/>
              <w:left w:val="nil"/>
              <w:bottom w:val="single" w:sz="4" w:space="0" w:color="auto"/>
              <w:right w:val="single" w:sz="4" w:space="0" w:color="auto"/>
            </w:tcBorders>
            <w:shd w:val="clear" w:color="auto" w:fill="auto"/>
            <w:noWrap/>
            <w:vAlign w:val="bottom"/>
            <w:hideMark/>
          </w:tcPr>
          <w:p w14:paraId="21375F79"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2014</w:t>
            </w:r>
          </w:p>
        </w:tc>
        <w:tc>
          <w:tcPr>
            <w:tcW w:w="1321" w:type="dxa"/>
            <w:tcBorders>
              <w:top w:val="nil"/>
              <w:left w:val="nil"/>
              <w:bottom w:val="single" w:sz="4" w:space="0" w:color="auto"/>
              <w:right w:val="single" w:sz="8" w:space="0" w:color="auto"/>
            </w:tcBorders>
            <w:shd w:val="clear" w:color="auto" w:fill="auto"/>
            <w:noWrap/>
            <w:vAlign w:val="bottom"/>
            <w:hideMark/>
          </w:tcPr>
          <w:p w14:paraId="64567AAD"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2015</w:t>
            </w:r>
          </w:p>
        </w:tc>
      </w:tr>
      <w:tr w:rsidR="00E95F72" w:rsidRPr="00572B7C" w14:paraId="075B7F07" w14:textId="77777777" w:rsidTr="00F132D6">
        <w:trPr>
          <w:trHeight w:val="300"/>
          <w:jc w:val="center"/>
        </w:trPr>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6095DE3A"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Turismo Emisivo</w:t>
            </w:r>
          </w:p>
        </w:tc>
        <w:tc>
          <w:tcPr>
            <w:tcW w:w="1308" w:type="dxa"/>
            <w:tcBorders>
              <w:top w:val="nil"/>
              <w:left w:val="nil"/>
              <w:bottom w:val="single" w:sz="4" w:space="0" w:color="auto"/>
              <w:right w:val="single" w:sz="4" w:space="0" w:color="auto"/>
            </w:tcBorders>
            <w:shd w:val="clear" w:color="auto" w:fill="auto"/>
            <w:noWrap/>
            <w:vAlign w:val="bottom"/>
            <w:hideMark/>
          </w:tcPr>
          <w:p w14:paraId="707B4570"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2.253 </w:t>
            </w:r>
          </w:p>
        </w:tc>
        <w:tc>
          <w:tcPr>
            <w:tcW w:w="1308" w:type="dxa"/>
            <w:tcBorders>
              <w:top w:val="nil"/>
              <w:left w:val="nil"/>
              <w:bottom w:val="single" w:sz="4" w:space="0" w:color="auto"/>
              <w:right w:val="single" w:sz="4" w:space="0" w:color="auto"/>
            </w:tcBorders>
            <w:shd w:val="clear" w:color="auto" w:fill="auto"/>
            <w:noWrap/>
            <w:vAlign w:val="bottom"/>
            <w:hideMark/>
          </w:tcPr>
          <w:p w14:paraId="4423C8E2"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2.318 </w:t>
            </w:r>
          </w:p>
        </w:tc>
        <w:tc>
          <w:tcPr>
            <w:tcW w:w="1308" w:type="dxa"/>
            <w:tcBorders>
              <w:top w:val="nil"/>
              <w:left w:val="nil"/>
              <w:bottom w:val="single" w:sz="4" w:space="0" w:color="auto"/>
              <w:right w:val="single" w:sz="4" w:space="0" w:color="auto"/>
            </w:tcBorders>
            <w:shd w:val="clear" w:color="auto" w:fill="auto"/>
            <w:noWrap/>
            <w:vAlign w:val="bottom"/>
            <w:hideMark/>
          </w:tcPr>
          <w:p w14:paraId="2BDE4EDC"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2.554 </w:t>
            </w:r>
          </w:p>
        </w:tc>
        <w:tc>
          <w:tcPr>
            <w:tcW w:w="1321" w:type="dxa"/>
            <w:tcBorders>
              <w:top w:val="nil"/>
              <w:left w:val="nil"/>
              <w:bottom w:val="single" w:sz="4" w:space="0" w:color="auto"/>
              <w:right w:val="single" w:sz="8" w:space="0" w:color="auto"/>
            </w:tcBorders>
            <w:shd w:val="clear" w:color="auto" w:fill="auto"/>
            <w:noWrap/>
            <w:vAlign w:val="bottom"/>
            <w:hideMark/>
          </w:tcPr>
          <w:p w14:paraId="0A840FB6"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2.511 </w:t>
            </w:r>
          </w:p>
        </w:tc>
      </w:tr>
      <w:tr w:rsidR="00E95F72" w:rsidRPr="00572B7C" w14:paraId="7CE4C915" w14:textId="77777777" w:rsidTr="00F132D6">
        <w:trPr>
          <w:trHeight w:val="300"/>
          <w:jc w:val="center"/>
        </w:trPr>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5C24F513"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Turismo Receptivo</w:t>
            </w:r>
          </w:p>
        </w:tc>
        <w:tc>
          <w:tcPr>
            <w:tcW w:w="1308" w:type="dxa"/>
            <w:tcBorders>
              <w:top w:val="nil"/>
              <w:left w:val="nil"/>
              <w:bottom w:val="single" w:sz="4" w:space="0" w:color="auto"/>
              <w:right w:val="single" w:sz="4" w:space="0" w:color="auto"/>
            </w:tcBorders>
            <w:shd w:val="clear" w:color="auto" w:fill="auto"/>
            <w:noWrap/>
            <w:vAlign w:val="bottom"/>
            <w:hideMark/>
          </w:tcPr>
          <w:p w14:paraId="10DAC953"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2.559 </w:t>
            </w:r>
          </w:p>
        </w:tc>
        <w:tc>
          <w:tcPr>
            <w:tcW w:w="1308" w:type="dxa"/>
            <w:tcBorders>
              <w:top w:val="nil"/>
              <w:left w:val="nil"/>
              <w:bottom w:val="single" w:sz="4" w:space="0" w:color="auto"/>
              <w:right w:val="single" w:sz="4" w:space="0" w:color="auto"/>
            </w:tcBorders>
            <w:shd w:val="clear" w:color="auto" w:fill="auto"/>
            <w:noWrap/>
            <w:vAlign w:val="bottom"/>
            <w:hideMark/>
          </w:tcPr>
          <w:p w14:paraId="346A2C73"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2.581 </w:t>
            </w:r>
          </w:p>
        </w:tc>
        <w:tc>
          <w:tcPr>
            <w:tcW w:w="1308" w:type="dxa"/>
            <w:tcBorders>
              <w:top w:val="nil"/>
              <w:left w:val="nil"/>
              <w:bottom w:val="single" w:sz="4" w:space="0" w:color="auto"/>
              <w:right w:val="single" w:sz="4" w:space="0" w:color="auto"/>
            </w:tcBorders>
            <w:shd w:val="clear" w:color="auto" w:fill="auto"/>
            <w:noWrap/>
            <w:vAlign w:val="bottom"/>
            <w:hideMark/>
          </w:tcPr>
          <w:p w14:paraId="68381390"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2.671 </w:t>
            </w:r>
          </w:p>
        </w:tc>
        <w:tc>
          <w:tcPr>
            <w:tcW w:w="1321" w:type="dxa"/>
            <w:tcBorders>
              <w:top w:val="nil"/>
              <w:left w:val="nil"/>
              <w:bottom w:val="single" w:sz="4" w:space="0" w:color="auto"/>
              <w:right w:val="single" w:sz="8" w:space="0" w:color="auto"/>
            </w:tcBorders>
            <w:shd w:val="clear" w:color="auto" w:fill="auto"/>
            <w:noWrap/>
            <w:vAlign w:val="bottom"/>
            <w:hideMark/>
          </w:tcPr>
          <w:p w14:paraId="4A5368B5"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2.910 </w:t>
            </w:r>
          </w:p>
        </w:tc>
      </w:tr>
      <w:tr w:rsidR="00E95F72" w:rsidRPr="00572B7C" w14:paraId="141C3E38" w14:textId="77777777" w:rsidTr="00F132D6">
        <w:trPr>
          <w:trHeight w:val="300"/>
          <w:jc w:val="center"/>
        </w:trPr>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700328F5"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Turismo Interno</w:t>
            </w:r>
          </w:p>
        </w:tc>
        <w:tc>
          <w:tcPr>
            <w:tcW w:w="1308" w:type="dxa"/>
            <w:tcBorders>
              <w:top w:val="nil"/>
              <w:left w:val="nil"/>
              <w:bottom w:val="single" w:sz="4" w:space="0" w:color="auto"/>
              <w:right w:val="single" w:sz="4" w:space="0" w:color="auto"/>
            </w:tcBorders>
            <w:shd w:val="clear" w:color="auto" w:fill="auto"/>
            <w:noWrap/>
            <w:vAlign w:val="bottom"/>
            <w:hideMark/>
          </w:tcPr>
          <w:p w14:paraId="4447226F"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4.250 </w:t>
            </w:r>
          </w:p>
        </w:tc>
        <w:tc>
          <w:tcPr>
            <w:tcW w:w="1308" w:type="dxa"/>
            <w:tcBorders>
              <w:top w:val="nil"/>
              <w:left w:val="nil"/>
              <w:bottom w:val="single" w:sz="4" w:space="0" w:color="auto"/>
              <w:right w:val="single" w:sz="4" w:space="0" w:color="auto"/>
            </w:tcBorders>
            <w:shd w:val="clear" w:color="auto" w:fill="auto"/>
            <w:noWrap/>
            <w:vAlign w:val="bottom"/>
            <w:hideMark/>
          </w:tcPr>
          <w:p w14:paraId="7800D7A9"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4.470 </w:t>
            </w:r>
          </w:p>
        </w:tc>
        <w:tc>
          <w:tcPr>
            <w:tcW w:w="1308" w:type="dxa"/>
            <w:tcBorders>
              <w:top w:val="nil"/>
              <w:left w:val="nil"/>
              <w:bottom w:val="single" w:sz="4" w:space="0" w:color="auto"/>
              <w:right w:val="single" w:sz="4" w:space="0" w:color="auto"/>
            </w:tcBorders>
            <w:shd w:val="clear" w:color="auto" w:fill="auto"/>
            <w:noWrap/>
            <w:vAlign w:val="bottom"/>
            <w:hideMark/>
          </w:tcPr>
          <w:p w14:paraId="535E5858"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4.750 </w:t>
            </w:r>
          </w:p>
        </w:tc>
        <w:tc>
          <w:tcPr>
            <w:tcW w:w="1321" w:type="dxa"/>
            <w:tcBorders>
              <w:top w:val="nil"/>
              <w:left w:val="nil"/>
              <w:bottom w:val="single" w:sz="4" w:space="0" w:color="auto"/>
              <w:right w:val="single" w:sz="8" w:space="0" w:color="auto"/>
            </w:tcBorders>
            <w:shd w:val="clear" w:color="auto" w:fill="auto"/>
            <w:noWrap/>
            <w:vAlign w:val="bottom"/>
            <w:hideMark/>
          </w:tcPr>
          <w:p w14:paraId="656FFBD0"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5.100 </w:t>
            </w:r>
          </w:p>
        </w:tc>
      </w:tr>
      <w:tr w:rsidR="00E95F72" w:rsidRPr="00572B7C" w14:paraId="4492744D" w14:textId="77777777" w:rsidTr="00F132D6">
        <w:trPr>
          <w:trHeight w:val="315"/>
          <w:jc w:val="center"/>
        </w:trPr>
        <w:tc>
          <w:tcPr>
            <w:tcW w:w="1875" w:type="dxa"/>
            <w:tcBorders>
              <w:top w:val="nil"/>
              <w:left w:val="single" w:sz="8" w:space="0" w:color="auto"/>
              <w:bottom w:val="single" w:sz="8" w:space="0" w:color="auto"/>
              <w:right w:val="single" w:sz="4" w:space="0" w:color="auto"/>
            </w:tcBorders>
            <w:shd w:val="clear" w:color="auto" w:fill="auto"/>
            <w:noWrap/>
            <w:vAlign w:val="bottom"/>
            <w:hideMark/>
          </w:tcPr>
          <w:p w14:paraId="1A8BB427"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TOTAL</w:t>
            </w:r>
          </w:p>
        </w:tc>
        <w:tc>
          <w:tcPr>
            <w:tcW w:w="1308" w:type="dxa"/>
            <w:tcBorders>
              <w:top w:val="nil"/>
              <w:left w:val="nil"/>
              <w:bottom w:val="single" w:sz="8" w:space="0" w:color="auto"/>
              <w:right w:val="single" w:sz="4" w:space="0" w:color="auto"/>
            </w:tcBorders>
            <w:shd w:val="clear" w:color="auto" w:fill="auto"/>
            <w:noWrap/>
            <w:vAlign w:val="bottom"/>
            <w:hideMark/>
          </w:tcPr>
          <w:p w14:paraId="7C8AEC6B"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9.062 </w:t>
            </w:r>
          </w:p>
        </w:tc>
        <w:tc>
          <w:tcPr>
            <w:tcW w:w="1308" w:type="dxa"/>
            <w:tcBorders>
              <w:top w:val="nil"/>
              <w:left w:val="nil"/>
              <w:bottom w:val="single" w:sz="8" w:space="0" w:color="auto"/>
              <w:right w:val="single" w:sz="4" w:space="0" w:color="auto"/>
            </w:tcBorders>
            <w:shd w:val="clear" w:color="auto" w:fill="auto"/>
            <w:noWrap/>
            <w:vAlign w:val="bottom"/>
            <w:hideMark/>
          </w:tcPr>
          <w:p w14:paraId="789CC42C"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9.369 </w:t>
            </w:r>
          </w:p>
        </w:tc>
        <w:tc>
          <w:tcPr>
            <w:tcW w:w="1308" w:type="dxa"/>
            <w:tcBorders>
              <w:top w:val="nil"/>
              <w:left w:val="nil"/>
              <w:bottom w:val="single" w:sz="8" w:space="0" w:color="auto"/>
              <w:right w:val="single" w:sz="4" w:space="0" w:color="auto"/>
            </w:tcBorders>
            <w:shd w:val="clear" w:color="auto" w:fill="auto"/>
            <w:noWrap/>
            <w:vAlign w:val="bottom"/>
            <w:hideMark/>
          </w:tcPr>
          <w:p w14:paraId="311EBD34"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9.975 </w:t>
            </w:r>
          </w:p>
        </w:tc>
        <w:tc>
          <w:tcPr>
            <w:tcW w:w="1321" w:type="dxa"/>
            <w:tcBorders>
              <w:top w:val="nil"/>
              <w:left w:val="nil"/>
              <w:bottom w:val="single" w:sz="8" w:space="0" w:color="auto"/>
              <w:right w:val="single" w:sz="8" w:space="0" w:color="auto"/>
            </w:tcBorders>
            <w:shd w:val="clear" w:color="auto" w:fill="auto"/>
            <w:noWrap/>
            <w:vAlign w:val="bottom"/>
            <w:hideMark/>
          </w:tcPr>
          <w:p w14:paraId="034D390E"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10.520 </w:t>
            </w:r>
          </w:p>
        </w:tc>
      </w:tr>
    </w:tbl>
    <w:p w14:paraId="418479E1" w14:textId="77777777" w:rsidR="00E95F72" w:rsidRPr="00572B7C" w:rsidRDefault="00E95F72" w:rsidP="00E95F72">
      <w:pPr>
        <w:spacing w:after="0"/>
        <w:jc w:val="both"/>
        <w:rPr>
          <w:sz w:val="18"/>
          <w:szCs w:val="18"/>
        </w:rPr>
      </w:pPr>
      <w:r>
        <w:rPr>
          <w:sz w:val="18"/>
          <w:szCs w:val="18"/>
        </w:rPr>
        <w:t xml:space="preserve">                     </w:t>
      </w:r>
      <w:r w:rsidRPr="00572B7C">
        <w:rPr>
          <w:sz w:val="18"/>
          <w:szCs w:val="18"/>
        </w:rPr>
        <w:t>Fuente: Estudio del Gasto (Emisivo y Receptivo), Estimado de Estudio Turismo Interno</w:t>
      </w:r>
    </w:p>
    <w:p w14:paraId="6DDC07E7" w14:textId="77777777" w:rsidR="00E95F72" w:rsidRDefault="00E95F72" w:rsidP="00E95F72">
      <w:pPr>
        <w:spacing w:after="0"/>
        <w:jc w:val="both"/>
      </w:pPr>
    </w:p>
    <w:p w14:paraId="50C01A40" w14:textId="1CE96C49" w:rsidR="00E95F72" w:rsidRDefault="00E95F72" w:rsidP="00E95F72">
      <w:pPr>
        <w:spacing w:before="240"/>
        <w:ind w:right="49"/>
        <w:jc w:val="both"/>
        <w:rPr>
          <w:rFonts w:asciiTheme="minorHAnsi" w:hAnsiTheme="minorHAnsi"/>
        </w:rPr>
      </w:pPr>
      <w:r>
        <w:t xml:space="preserve">Ahora bien si a las divisas que aporta el turismo receptivo </w:t>
      </w:r>
      <w:r w:rsidRPr="00DA1E7D">
        <w:rPr>
          <w:rFonts w:asciiTheme="minorHAnsi" w:hAnsiTheme="minorHAnsi"/>
        </w:rPr>
        <w:t>se suma el gasto realizado por los chilenos que viajan cada año por el país, cercano a los USD 5.100 millones</w:t>
      </w:r>
      <w:r>
        <w:rPr>
          <w:rFonts w:asciiTheme="minorHAnsi" w:hAnsiTheme="minorHAnsi"/>
        </w:rPr>
        <w:t>,</w:t>
      </w:r>
      <w:r w:rsidRPr="00DA1E7D">
        <w:rPr>
          <w:rFonts w:asciiTheme="minorHAnsi" w:hAnsiTheme="minorHAnsi"/>
        </w:rPr>
        <w:t xml:space="preserve"> es posible afirmar que el sector genera una cifra superior a los USD 8.000 millones.</w:t>
      </w:r>
      <w:r>
        <w:rPr>
          <w:rFonts w:asciiTheme="minorHAnsi" w:hAnsiTheme="minorHAnsi"/>
        </w:rPr>
        <w:t xml:space="preserve"> </w:t>
      </w:r>
      <w:r w:rsidR="000F45AC">
        <w:rPr>
          <w:rFonts w:asciiTheme="minorHAnsi" w:hAnsiTheme="minorHAnsi"/>
        </w:rPr>
        <w:t>E</w:t>
      </w:r>
      <w:r>
        <w:rPr>
          <w:rFonts w:asciiTheme="minorHAnsi" w:hAnsiTheme="minorHAnsi"/>
        </w:rPr>
        <w:t>l turismo interno equivale a cerca de un 64% del total del gasto turístico en el país</w:t>
      </w:r>
      <w:r w:rsidR="000F45AC">
        <w:rPr>
          <w:rFonts w:asciiTheme="minorHAnsi" w:hAnsiTheme="minorHAnsi"/>
        </w:rPr>
        <w:t>, participación que ha crecido en un poco más de un punto porcentual en los últimos 4 años</w:t>
      </w:r>
      <w:r>
        <w:rPr>
          <w:rFonts w:asciiTheme="minorHAnsi" w:hAnsiTheme="minorHAnsi"/>
        </w:rPr>
        <w:t>.</w:t>
      </w:r>
    </w:p>
    <w:tbl>
      <w:tblPr>
        <w:tblW w:w="7120" w:type="dxa"/>
        <w:jc w:val="center"/>
        <w:tblCellMar>
          <w:left w:w="70" w:type="dxa"/>
          <w:right w:w="70" w:type="dxa"/>
        </w:tblCellMar>
        <w:tblLook w:val="04A0" w:firstRow="1" w:lastRow="0" w:firstColumn="1" w:lastColumn="0" w:noHBand="0" w:noVBand="1"/>
      </w:tblPr>
      <w:tblGrid>
        <w:gridCol w:w="1880"/>
        <w:gridCol w:w="1310"/>
        <w:gridCol w:w="1310"/>
        <w:gridCol w:w="1310"/>
        <w:gridCol w:w="1310"/>
      </w:tblGrid>
      <w:tr w:rsidR="00E95F72" w:rsidRPr="00572B7C" w14:paraId="3A4353B6" w14:textId="77777777" w:rsidTr="00F132D6">
        <w:trPr>
          <w:trHeight w:val="315"/>
          <w:jc w:val="center"/>
        </w:trPr>
        <w:tc>
          <w:tcPr>
            <w:tcW w:w="7120" w:type="dxa"/>
            <w:gridSpan w:val="5"/>
            <w:tcBorders>
              <w:top w:val="nil"/>
              <w:left w:val="nil"/>
              <w:bottom w:val="single" w:sz="8" w:space="0" w:color="auto"/>
              <w:right w:val="nil"/>
            </w:tcBorders>
            <w:shd w:val="clear" w:color="auto" w:fill="auto"/>
            <w:noWrap/>
            <w:vAlign w:val="bottom"/>
            <w:hideMark/>
          </w:tcPr>
          <w:p w14:paraId="0F869D0A"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Gasto Turístico (</w:t>
            </w:r>
            <w:proofErr w:type="spellStart"/>
            <w:r w:rsidRPr="00572B7C">
              <w:rPr>
                <w:rFonts w:eastAsia="Times New Roman"/>
                <w:b/>
                <w:bCs/>
                <w:color w:val="000000"/>
                <w:lang w:eastAsia="es-CL"/>
              </w:rPr>
              <w:t>US$mill</w:t>
            </w:r>
            <w:proofErr w:type="spellEnd"/>
            <w:r w:rsidRPr="00572B7C">
              <w:rPr>
                <w:rFonts w:eastAsia="Times New Roman"/>
                <w:b/>
                <w:bCs/>
                <w:color w:val="000000"/>
                <w:lang w:eastAsia="es-CL"/>
              </w:rPr>
              <w:t>)</w:t>
            </w:r>
          </w:p>
        </w:tc>
      </w:tr>
      <w:tr w:rsidR="00E95F72" w:rsidRPr="00572B7C" w14:paraId="7A4F17A1" w14:textId="77777777" w:rsidTr="00F132D6">
        <w:trPr>
          <w:trHeight w:val="300"/>
          <w:jc w:val="center"/>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3EF471B"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w:t>
            </w:r>
          </w:p>
        </w:tc>
        <w:tc>
          <w:tcPr>
            <w:tcW w:w="1310" w:type="dxa"/>
            <w:tcBorders>
              <w:top w:val="nil"/>
              <w:left w:val="nil"/>
              <w:bottom w:val="single" w:sz="4" w:space="0" w:color="auto"/>
              <w:right w:val="single" w:sz="4" w:space="0" w:color="auto"/>
            </w:tcBorders>
            <w:shd w:val="clear" w:color="auto" w:fill="auto"/>
            <w:noWrap/>
            <w:vAlign w:val="bottom"/>
            <w:hideMark/>
          </w:tcPr>
          <w:p w14:paraId="4D87B66B"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2012</w:t>
            </w:r>
          </w:p>
        </w:tc>
        <w:tc>
          <w:tcPr>
            <w:tcW w:w="1310" w:type="dxa"/>
            <w:tcBorders>
              <w:top w:val="nil"/>
              <w:left w:val="nil"/>
              <w:bottom w:val="single" w:sz="4" w:space="0" w:color="auto"/>
              <w:right w:val="single" w:sz="4" w:space="0" w:color="auto"/>
            </w:tcBorders>
            <w:shd w:val="clear" w:color="auto" w:fill="auto"/>
            <w:noWrap/>
            <w:vAlign w:val="bottom"/>
            <w:hideMark/>
          </w:tcPr>
          <w:p w14:paraId="6A6DF804"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2013</w:t>
            </w:r>
          </w:p>
        </w:tc>
        <w:tc>
          <w:tcPr>
            <w:tcW w:w="1310" w:type="dxa"/>
            <w:tcBorders>
              <w:top w:val="nil"/>
              <w:left w:val="nil"/>
              <w:bottom w:val="single" w:sz="4" w:space="0" w:color="auto"/>
              <w:right w:val="single" w:sz="4" w:space="0" w:color="auto"/>
            </w:tcBorders>
            <w:shd w:val="clear" w:color="auto" w:fill="auto"/>
            <w:noWrap/>
            <w:vAlign w:val="bottom"/>
            <w:hideMark/>
          </w:tcPr>
          <w:p w14:paraId="17D0A6CB"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2014</w:t>
            </w:r>
          </w:p>
        </w:tc>
        <w:tc>
          <w:tcPr>
            <w:tcW w:w="1310" w:type="dxa"/>
            <w:tcBorders>
              <w:top w:val="nil"/>
              <w:left w:val="nil"/>
              <w:bottom w:val="single" w:sz="4" w:space="0" w:color="auto"/>
              <w:right w:val="single" w:sz="8" w:space="0" w:color="auto"/>
            </w:tcBorders>
            <w:shd w:val="clear" w:color="auto" w:fill="auto"/>
            <w:noWrap/>
            <w:vAlign w:val="bottom"/>
            <w:hideMark/>
          </w:tcPr>
          <w:p w14:paraId="3A9B7E75"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2015</w:t>
            </w:r>
          </w:p>
        </w:tc>
      </w:tr>
      <w:tr w:rsidR="00E95F72" w:rsidRPr="00572B7C" w14:paraId="539AEDC3" w14:textId="77777777" w:rsidTr="00F132D6">
        <w:trPr>
          <w:trHeight w:val="300"/>
          <w:jc w:val="center"/>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74A867B"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Turismo Receptivo</w:t>
            </w:r>
          </w:p>
        </w:tc>
        <w:tc>
          <w:tcPr>
            <w:tcW w:w="1310" w:type="dxa"/>
            <w:tcBorders>
              <w:top w:val="nil"/>
              <w:left w:val="nil"/>
              <w:bottom w:val="single" w:sz="4" w:space="0" w:color="auto"/>
              <w:right w:val="single" w:sz="4" w:space="0" w:color="auto"/>
            </w:tcBorders>
            <w:shd w:val="clear" w:color="auto" w:fill="auto"/>
            <w:noWrap/>
            <w:vAlign w:val="bottom"/>
            <w:hideMark/>
          </w:tcPr>
          <w:p w14:paraId="1115F46E"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2.559 </w:t>
            </w:r>
          </w:p>
        </w:tc>
        <w:tc>
          <w:tcPr>
            <w:tcW w:w="1310" w:type="dxa"/>
            <w:tcBorders>
              <w:top w:val="nil"/>
              <w:left w:val="nil"/>
              <w:bottom w:val="single" w:sz="4" w:space="0" w:color="auto"/>
              <w:right w:val="single" w:sz="4" w:space="0" w:color="auto"/>
            </w:tcBorders>
            <w:shd w:val="clear" w:color="auto" w:fill="auto"/>
            <w:noWrap/>
            <w:vAlign w:val="bottom"/>
            <w:hideMark/>
          </w:tcPr>
          <w:p w14:paraId="124EC7FA"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2.581 </w:t>
            </w:r>
          </w:p>
        </w:tc>
        <w:tc>
          <w:tcPr>
            <w:tcW w:w="1310" w:type="dxa"/>
            <w:tcBorders>
              <w:top w:val="nil"/>
              <w:left w:val="nil"/>
              <w:bottom w:val="single" w:sz="4" w:space="0" w:color="auto"/>
              <w:right w:val="single" w:sz="4" w:space="0" w:color="auto"/>
            </w:tcBorders>
            <w:shd w:val="clear" w:color="auto" w:fill="auto"/>
            <w:noWrap/>
            <w:vAlign w:val="bottom"/>
            <w:hideMark/>
          </w:tcPr>
          <w:p w14:paraId="735A7525"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2.671 </w:t>
            </w:r>
          </w:p>
        </w:tc>
        <w:tc>
          <w:tcPr>
            <w:tcW w:w="1310" w:type="dxa"/>
            <w:tcBorders>
              <w:top w:val="nil"/>
              <w:left w:val="nil"/>
              <w:bottom w:val="single" w:sz="4" w:space="0" w:color="auto"/>
              <w:right w:val="single" w:sz="8" w:space="0" w:color="auto"/>
            </w:tcBorders>
            <w:shd w:val="clear" w:color="auto" w:fill="auto"/>
            <w:noWrap/>
            <w:vAlign w:val="bottom"/>
            <w:hideMark/>
          </w:tcPr>
          <w:p w14:paraId="704CF68A"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2.910 </w:t>
            </w:r>
          </w:p>
        </w:tc>
      </w:tr>
      <w:tr w:rsidR="00E95F72" w:rsidRPr="00572B7C" w14:paraId="669D80C0" w14:textId="77777777" w:rsidTr="00F132D6">
        <w:trPr>
          <w:trHeight w:val="300"/>
          <w:jc w:val="center"/>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9A045C0"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Turismo Interno</w:t>
            </w:r>
          </w:p>
        </w:tc>
        <w:tc>
          <w:tcPr>
            <w:tcW w:w="1310" w:type="dxa"/>
            <w:tcBorders>
              <w:top w:val="nil"/>
              <w:left w:val="nil"/>
              <w:bottom w:val="single" w:sz="4" w:space="0" w:color="auto"/>
              <w:right w:val="single" w:sz="4" w:space="0" w:color="auto"/>
            </w:tcBorders>
            <w:shd w:val="clear" w:color="auto" w:fill="auto"/>
            <w:noWrap/>
            <w:vAlign w:val="bottom"/>
            <w:hideMark/>
          </w:tcPr>
          <w:p w14:paraId="14A0D6E1"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4.250 </w:t>
            </w:r>
          </w:p>
        </w:tc>
        <w:tc>
          <w:tcPr>
            <w:tcW w:w="1310" w:type="dxa"/>
            <w:tcBorders>
              <w:top w:val="nil"/>
              <w:left w:val="nil"/>
              <w:bottom w:val="single" w:sz="4" w:space="0" w:color="auto"/>
              <w:right w:val="single" w:sz="4" w:space="0" w:color="auto"/>
            </w:tcBorders>
            <w:shd w:val="clear" w:color="auto" w:fill="auto"/>
            <w:noWrap/>
            <w:vAlign w:val="bottom"/>
            <w:hideMark/>
          </w:tcPr>
          <w:p w14:paraId="79604097"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4.470 </w:t>
            </w:r>
          </w:p>
        </w:tc>
        <w:tc>
          <w:tcPr>
            <w:tcW w:w="1310" w:type="dxa"/>
            <w:tcBorders>
              <w:top w:val="nil"/>
              <w:left w:val="nil"/>
              <w:bottom w:val="single" w:sz="4" w:space="0" w:color="auto"/>
              <w:right w:val="single" w:sz="4" w:space="0" w:color="auto"/>
            </w:tcBorders>
            <w:shd w:val="clear" w:color="auto" w:fill="auto"/>
            <w:noWrap/>
            <w:vAlign w:val="bottom"/>
            <w:hideMark/>
          </w:tcPr>
          <w:p w14:paraId="7C9ACC4D"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4.750 </w:t>
            </w:r>
          </w:p>
        </w:tc>
        <w:tc>
          <w:tcPr>
            <w:tcW w:w="1310" w:type="dxa"/>
            <w:tcBorders>
              <w:top w:val="nil"/>
              <w:left w:val="nil"/>
              <w:bottom w:val="single" w:sz="4" w:space="0" w:color="auto"/>
              <w:right w:val="single" w:sz="8" w:space="0" w:color="auto"/>
            </w:tcBorders>
            <w:shd w:val="clear" w:color="auto" w:fill="auto"/>
            <w:noWrap/>
            <w:vAlign w:val="bottom"/>
            <w:hideMark/>
          </w:tcPr>
          <w:p w14:paraId="599C9218"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xml:space="preserve">             5.100 </w:t>
            </w:r>
          </w:p>
        </w:tc>
      </w:tr>
      <w:tr w:rsidR="00E95F72" w:rsidRPr="00572B7C" w14:paraId="3D404ACE" w14:textId="77777777" w:rsidTr="00F132D6">
        <w:trPr>
          <w:trHeight w:val="315"/>
          <w:jc w:val="center"/>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14:paraId="43614461"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TOTAL</w:t>
            </w:r>
          </w:p>
        </w:tc>
        <w:tc>
          <w:tcPr>
            <w:tcW w:w="1310" w:type="dxa"/>
            <w:tcBorders>
              <w:top w:val="nil"/>
              <w:left w:val="nil"/>
              <w:bottom w:val="single" w:sz="8" w:space="0" w:color="auto"/>
              <w:right w:val="single" w:sz="4" w:space="0" w:color="auto"/>
            </w:tcBorders>
            <w:shd w:val="clear" w:color="auto" w:fill="auto"/>
            <w:noWrap/>
            <w:vAlign w:val="bottom"/>
            <w:hideMark/>
          </w:tcPr>
          <w:p w14:paraId="05891608"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6.809 </w:t>
            </w:r>
          </w:p>
        </w:tc>
        <w:tc>
          <w:tcPr>
            <w:tcW w:w="1310" w:type="dxa"/>
            <w:tcBorders>
              <w:top w:val="nil"/>
              <w:left w:val="nil"/>
              <w:bottom w:val="single" w:sz="8" w:space="0" w:color="auto"/>
              <w:right w:val="single" w:sz="4" w:space="0" w:color="auto"/>
            </w:tcBorders>
            <w:shd w:val="clear" w:color="auto" w:fill="auto"/>
            <w:noWrap/>
            <w:vAlign w:val="bottom"/>
            <w:hideMark/>
          </w:tcPr>
          <w:p w14:paraId="771EEDBF"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7.051 </w:t>
            </w:r>
          </w:p>
        </w:tc>
        <w:tc>
          <w:tcPr>
            <w:tcW w:w="1310" w:type="dxa"/>
            <w:tcBorders>
              <w:top w:val="nil"/>
              <w:left w:val="nil"/>
              <w:bottom w:val="single" w:sz="8" w:space="0" w:color="auto"/>
              <w:right w:val="single" w:sz="4" w:space="0" w:color="auto"/>
            </w:tcBorders>
            <w:shd w:val="clear" w:color="auto" w:fill="auto"/>
            <w:noWrap/>
            <w:vAlign w:val="bottom"/>
            <w:hideMark/>
          </w:tcPr>
          <w:p w14:paraId="7893A51B"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7.421 </w:t>
            </w:r>
          </w:p>
        </w:tc>
        <w:tc>
          <w:tcPr>
            <w:tcW w:w="1310" w:type="dxa"/>
            <w:tcBorders>
              <w:top w:val="nil"/>
              <w:left w:val="nil"/>
              <w:bottom w:val="single" w:sz="8" w:space="0" w:color="auto"/>
              <w:right w:val="single" w:sz="8" w:space="0" w:color="auto"/>
            </w:tcBorders>
            <w:shd w:val="clear" w:color="auto" w:fill="auto"/>
            <w:noWrap/>
            <w:vAlign w:val="bottom"/>
            <w:hideMark/>
          </w:tcPr>
          <w:p w14:paraId="5331EC3A" w14:textId="77777777" w:rsidR="00E95F72" w:rsidRPr="00572B7C" w:rsidRDefault="00E95F72" w:rsidP="00F132D6">
            <w:pPr>
              <w:spacing w:after="0" w:line="240" w:lineRule="auto"/>
              <w:rPr>
                <w:rFonts w:eastAsia="Times New Roman"/>
                <w:b/>
                <w:bCs/>
                <w:color w:val="000000"/>
                <w:lang w:eastAsia="es-CL"/>
              </w:rPr>
            </w:pPr>
            <w:r w:rsidRPr="00572B7C">
              <w:rPr>
                <w:rFonts w:eastAsia="Times New Roman"/>
                <w:b/>
                <w:bCs/>
                <w:color w:val="000000"/>
                <w:lang w:eastAsia="es-CL"/>
              </w:rPr>
              <w:t xml:space="preserve">             8.010 </w:t>
            </w:r>
          </w:p>
        </w:tc>
      </w:tr>
    </w:tbl>
    <w:p w14:paraId="6682A397" w14:textId="77777777" w:rsidR="00E95F72" w:rsidRPr="00572B7C" w:rsidRDefault="00E95F72" w:rsidP="00E95F72">
      <w:pPr>
        <w:spacing w:after="0"/>
        <w:jc w:val="both"/>
        <w:rPr>
          <w:sz w:val="18"/>
          <w:szCs w:val="18"/>
        </w:rPr>
      </w:pPr>
      <w:r>
        <w:rPr>
          <w:sz w:val="18"/>
          <w:szCs w:val="18"/>
        </w:rPr>
        <w:t xml:space="preserve">                     </w:t>
      </w:r>
      <w:r w:rsidRPr="00572B7C">
        <w:rPr>
          <w:sz w:val="18"/>
          <w:szCs w:val="18"/>
        </w:rPr>
        <w:t>Fuente: Estudio del Gasto (Receptivo), Estimado de Estudio Turismo Interno</w:t>
      </w:r>
    </w:p>
    <w:p w14:paraId="3CCAC121" w14:textId="77777777" w:rsidR="00E95F72" w:rsidRDefault="00E95F72" w:rsidP="00E95F72">
      <w:pPr>
        <w:spacing w:after="0"/>
        <w:jc w:val="center"/>
        <w:rPr>
          <w:b/>
          <w:sz w:val="28"/>
          <w:szCs w:val="28"/>
        </w:rPr>
      </w:pPr>
    </w:p>
    <w:p w14:paraId="495FF0B2" w14:textId="77777777" w:rsidR="00E95F72" w:rsidRDefault="00E95F72" w:rsidP="00E95F72">
      <w:pPr>
        <w:spacing w:after="0"/>
        <w:jc w:val="center"/>
        <w:rPr>
          <w:b/>
          <w:sz w:val="28"/>
          <w:szCs w:val="28"/>
        </w:rPr>
      </w:pPr>
    </w:p>
    <w:tbl>
      <w:tblPr>
        <w:tblW w:w="7120" w:type="dxa"/>
        <w:jc w:val="center"/>
        <w:tblCellMar>
          <w:left w:w="70" w:type="dxa"/>
          <w:right w:w="70" w:type="dxa"/>
        </w:tblCellMar>
        <w:tblLook w:val="04A0" w:firstRow="1" w:lastRow="0" w:firstColumn="1" w:lastColumn="0" w:noHBand="0" w:noVBand="1"/>
      </w:tblPr>
      <w:tblGrid>
        <w:gridCol w:w="3016"/>
        <w:gridCol w:w="1026"/>
        <w:gridCol w:w="1026"/>
        <w:gridCol w:w="1026"/>
        <w:gridCol w:w="1026"/>
      </w:tblGrid>
      <w:tr w:rsidR="00E95F72" w:rsidRPr="00572B7C" w14:paraId="56144DD8" w14:textId="77777777" w:rsidTr="00F132D6">
        <w:trPr>
          <w:trHeight w:val="315"/>
          <w:jc w:val="center"/>
        </w:trPr>
        <w:tc>
          <w:tcPr>
            <w:tcW w:w="7120" w:type="dxa"/>
            <w:gridSpan w:val="5"/>
            <w:tcBorders>
              <w:top w:val="nil"/>
              <w:left w:val="nil"/>
              <w:bottom w:val="single" w:sz="8" w:space="0" w:color="auto"/>
              <w:right w:val="nil"/>
            </w:tcBorders>
            <w:shd w:val="clear" w:color="auto" w:fill="auto"/>
            <w:noWrap/>
            <w:vAlign w:val="bottom"/>
            <w:hideMark/>
          </w:tcPr>
          <w:p w14:paraId="00A1B11D"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Participación Gasto turístico (%)</w:t>
            </w:r>
          </w:p>
        </w:tc>
      </w:tr>
      <w:tr w:rsidR="00E95F72" w:rsidRPr="00572B7C" w14:paraId="11BE20FA" w14:textId="77777777" w:rsidTr="00F132D6">
        <w:trPr>
          <w:trHeight w:val="300"/>
          <w:jc w:val="center"/>
        </w:trPr>
        <w:tc>
          <w:tcPr>
            <w:tcW w:w="3016" w:type="dxa"/>
            <w:tcBorders>
              <w:top w:val="nil"/>
              <w:left w:val="single" w:sz="8" w:space="0" w:color="auto"/>
              <w:bottom w:val="single" w:sz="4" w:space="0" w:color="auto"/>
              <w:right w:val="single" w:sz="4" w:space="0" w:color="auto"/>
            </w:tcBorders>
            <w:shd w:val="clear" w:color="auto" w:fill="auto"/>
            <w:noWrap/>
            <w:vAlign w:val="bottom"/>
            <w:hideMark/>
          </w:tcPr>
          <w:p w14:paraId="63FB4D08"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 </w:t>
            </w:r>
          </w:p>
        </w:tc>
        <w:tc>
          <w:tcPr>
            <w:tcW w:w="1026" w:type="dxa"/>
            <w:tcBorders>
              <w:top w:val="nil"/>
              <w:left w:val="nil"/>
              <w:bottom w:val="single" w:sz="4" w:space="0" w:color="auto"/>
              <w:right w:val="single" w:sz="4" w:space="0" w:color="auto"/>
            </w:tcBorders>
            <w:shd w:val="clear" w:color="auto" w:fill="auto"/>
            <w:noWrap/>
            <w:vAlign w:val="bottom"/>
            <w:hideMark/>
          </w:tcPr>
          <w:p w14:paraId="3AC710FC"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2012</w:t>
            </w:r>
          </w:p>
        </w:tc>
        <w:tc>
          <w:tcPr>
            <w:tcW w:w="1026" w:type="dxa"/>
            <w:tcBorders>
              <w:top w:val="nil"/>
              <w:left w:val="nil"/>
              <w:bottom w:val="single" w:sz="4" w:space="0" w:color="auto"/>
              <w:right w:val="single" w:sz="4" w:space="0" w:color="auto"/>
            </w:tcBorders>
            <w:shd w:val="clear" w:color="auto" w:fill="auto"/>
            <w:noWrap/>
            <w:vAlign w:val="bottom"/>
            <w:hideMark/>
          </w:tcPr>
          <w:p w14:paraId="01E36EAA"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2013</w:t>
            </w:r>
          </w:p>
        </w:tc>
        <w:tc>
          <w:tcPr>
            <w:tcW w:w="1026" w:type="dxa"/>
            <w:tcBorders>
              <w:top w:val="nil"/>
              <w:left w:val="nil"/>
              <w:bottom w:val="single" w:sz="4" w:space="0" w:color="auto"/>
              <w:right w:val="single" w:sz="4" w:space="0" w:color="auto"/>
            </w:tcBorders>
            <w:shd w:val="clear" w:color="auto" w:fill="auto"/>
            <w:noWrap/>
            <w:vAlign w:val="bottom"/>
            <w:hideMark/>
          </w:tcPr>
          <w:p w14:paraId="0D191E71"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2014</w:t>
            </w:r>
          </w:p>
        </w:tc>
        <w:tc>
          <w:tcPr>
            <w:tcW w:w="1026" w:type="dxa"/>
            <w:tcBorders>
              <w:top w:val="nil"/>
              <w:left w:val="nil"/>
              <w:bottom w:val="single" w:sz="4" w:space="0" w:color="auto"/>
              <w:right w:val="single" w:sz="8" w:space="0" w:color="auto"/>
            </w:tcBorders>
            <w:shd w:val="clear" w:color="auto" w:fill="auto"/>
            <w:noWrap/>
            <w:vAlign w:val="bottom"/>
            <w:hideMark/>
          </w:tcPr>
          <w:p w14:paraId="17B18EC0" w14:textId="77777777" w:rsidR="00E95F72" w:rsidRPr="00572B7C" w:rsidRDefault="00E95F72" w:rsidP="00F132D6">
            <w:pPr>
              <w:spacing w:after="0" w:line="240" w:lineRule="auto"/>
              <w:jc w:val="center"/>
              <w:rPr>
                <w:rFonts w:eastAsia="Times New Roman"/>
                <w:b/>
                <w:bCs/>
                <w:color w:val="000000"/>
                <w:lang w:eastAsia="es-CL"/>
              </w:rPr>
            </w:pPr>
            <w:r w:rsidRPr="00572B7C">
              <w:rPr>
                <w:rFonts w:eastAsia="Times New Roman"/>
                <w:b/>
                <w:bCs/>
                <w:color w:val="000000"/>
                <w:lang w:eastAsia="es-CL"/>
              </w:rPr>
              <w:t>2015</w:t>
            </w:r>
          </w:p>
        </w:tc>
      </w:tr>
      <w:tr w:rsidR="00E95F72" w:rsidRPr="00572B7C" w14:paraId="0269E1F7" w14:textId="77777777" w:rsidTr="00F132D6">
        <w:trPr>
          <w:trHeight w:val="300"/>
          <w:jc w:val="center"/>
        </w:trPr>
        <w:tc>
          <w:tcPr>
            <w:tcW w:w="3016" w:type="dxa"/>
            <w:tcBorders>
              <w:top w:val="nil"/>
              <w:left w:val="single" w:sz="8" w:space="0" w:color="auto"/>
              <w:bottom w:val="single" w:sz="4" w:space="0" w:color="auto"/>
              <w:right w:val="single" w:sz="4" w:space="0" w:color="auto"/>
            </w:tcBorders>
            <w:shd w:val="clear" w:color="auto" w:fill="auto"/>
            <w:noWrap/>
            <w:vAlign w:val="bottom"/>
            <w:hideMark/>
          </w:tcPr>
          <w:p w14:paraId="4603DB1E"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Turismo Receptivo</w:t>
            </w:r>
          </w:p>
        </w:tc>
        <w:tc>
          <w:tcPr>
            <w:tcW w:w="1026" w:type="dxa"/>
            <w:tcBorders>
              <w:top w:val="nil"/>
              <w:left w:val="nil"/>
              <w:bottom w:val="single" w:sz="4" w:space="0" w:color="auto"/>
              <w:right w:val="single" w:sz="4" w:space="0" w:color="auto"/>
            </w:tcBorders>
            <w:shd w:val="clear" w:color="auto" w:fill="auto"/>
            <w:noWrap/>
            <w:vAlign w:val="bottom"/>
            <w:hideMark/>
          </w:tcPr>
          <w:p w14:paraId="1CF9EA40"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37,6%</w:t>
            </w:r>
          </w:p>
        </w:tc>
        <w:tc>
          <w:tcPr>
            <w:tcW w:w="1026" w:type="dxa"/>
            <w:tcBorders>
              <w:top w:val="nil"/>
              <w:left w:val="nil"/>
              <w:bottom w:val="single" w:sz="4" w:space="0" w:color="auto"/>
              <w:right w:val="single" w:sz="4" w:space="0" w:color="auto"/>
            </w:tcBorders>
            <w:shd w:val="clear" w:color="auto" w:fill="auto"/>
            <w:noWrap/>
            <w:vAlign w:val="bottom"/>
            <w:hideMark/>
          </w:tcPr>
          <w:p w14:paraId="3A9C5B0A"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36,6%</w:t>
            </w:r>
          </w:p>
        </w:tc>
        <w:tc>
          <w:tcPr>
            <w:tcW w:w="1026" w:type="dxa"/>
            <w:tcBorders>
              <w:top w:val="nil"/>
              <w:left w:val="nil"/>
              <w:bottom w:val="single" w:sz="4" w:space="0" w:color="auto"/>
              <w:right w:val="single" w:sz="4" w:space="0" w:color="auto"/>
            </w:tcBorders>
            <w:shd w:val="clear" w:color="auto" w:fill="auto"/>
            <w:noWrap/>
            <w:vAlign w:val="bottom"/>
            <w:hideMark/>
          </w:tcPr>
          <w:p w14:paraId="1B5D548B"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36,0%</w:t>
            </w:r>
          </w:p>
        </w:tc>
        <w:tc>
          <w:tcPr>
            <w:tcW w:w="1026" w:type="dxa"/>
            <w:tcBorders>
              <w:top w:val="nil"/>
              <w:left w:val="nil"/>
              <w:bottom w:val="single" w:sz="4" w:space="0" w:color="auto"/>
              <w:right w:val="single" w:sz="8" w:space="0" w:color="auto"/>
            </w:tcBorders>
            <w:shd w:val="clear" w:color="auto" w:fill="auto"/>
            <w:noWrap/>
            <w:vAlign w:val="bottom"/>
            <w:hideMark/>
          </w:tcPr>
          <w:p w14:paraId="66811E07"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36,3%</w:t>
            </w:r>
          </w:p>
        </w:tc>
      </w:tr>
      <w:tr w:rsidR="00E95F72" w:rsidRPr="00572B7C" w14:paraId="10FDF88D" w14:textId="77777777" w:rsidTr="00F132D6">
        <w:trPr>
          <w:trHeight w:val="300"/>
          <w:jc w:val="center"/>
        </w:trPr>
        <w:tc>
          <w:tcPr>
            <w:tcW w:w="3016" w:type="dxa"/>
            <w:tcBorders>
              <w:top w:val="nil"/>
              <w:left w:val="single" w:sz="8" w:space="0" w:color="auto"/>
              <w:bottom w:val="single" w:sz="4" w:space="0" w:color="auto"/>
              <w:right w:val="single" w:sz="4" w:space="0" w:color="auto"/>
            </w:tcBorders>
            <w:shd w:val="clear" w:color="auto" w:fill="auto"/>
            <w:noWrap/>
            <w:vAlign w:val="bottom"/>
            <w:hideMark/>
          </w:tcPr>
          <w:p w14:paraId="330E7807"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Turismo Interno</w:t>
            </w:r>
          </w:p>
        </w:tc>
        <w:tc>
          <w:tcPr>
            <w:tcW w:w="1026" w:type="dxa"/>
            <w:tcBorders>
              <w:top w:val="nil"/>
              <w:left w:val="nil"/>
              <w:bottom w:val="single" w:sz="4" w:space="0" w:color="auto"/>
              <w:right w:val="single" w:sz="4" w:space="0" w:color="auto"/>
            </w:tcBorders>
            <w:shd w:val="clear" w:color="auto" w:fill="auto"/>
            <w:noWrap/>
            <w:vAlign w:val="bottom"/>
            <w:hideMark/>
          </w:tcPr>
          <w:p w14:paraId="4D1F8055"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62,4%</w:t>
            </w:r>
          </w:p>
        </w:tc>
        <w:tc>
          <w:tcPr>
            <w:tcW w:w="1026" w:type="dxa"/>
            <w:tcBorders>
              <w:top w:val="nil"/>
              <w:left w:val="nil"/>
              <w:bottom w:val="single" w:sz="4" w:space="0" w:color="auto"/>
              <w:right w:val="single" w:sz="4" w:space="0" w:color="auto"/>
            </w:tcBorders>
            <w:shd w:val="clear" w:color="auto" w:fill="auto"/>
            <w:noWrap/>
            <w:vAlign w:val="bottom"/>
            <w:hideMark/>
          </w:tcPr>
          <w:p w14:paraId="4C8B1AEA"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63,4%</w:t>
            </w:r>
          </w:p>
        </w:tc>
        <w:tc>
          <w:tcPr>
            <w:tcW w:w="1026" w:type="dxa"/>
            <w:tcBorders>
              <w:top w:val="nil"/>
              <w:left w:val="nil"/>
              <w:bottom w:val="single" w:sz="4" w:space="0" w:color="auto"/>
              <w:right w:val="single" w:sz="4" w:space="0" w:color="auto"/>
            </w:tcBorders>
            <w:shd w:val="clear" w:color="auto" w:fill="auto"/>
            <w:noWrap/>
            <w:vAlign w:val="bottom"/>
            <w:hideMark/>
          </w:tcPr>
          <w:p w14:paraId="0F945B47"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64,0%</w:t>
            </w:r>
          </w:p>
        </w:tc>
        <w:tc>
          <w:tcPr>
            <w:tcW w:w="1026" w:type="dxa"/>
            <w:tcBorders>
              <w:top w:val="nil"/>
              <w:left w:val="nil"/>
              <w:bottom w:val="single" w:sz="4" w:space="0" w:color="auto"/>
              <w:right w:val="single" w:sz="8" w:space="0" w:color="auto"/>
            </w:tcBorders>
            <w:shd w:val="clear" w:color="auto" w:fill="auto"/>
            <w:noWrap/>
            <w:vAlign w:val="bottom"/>
            <w:hideMark/>
          </w:tcPr>
          <w:p w14:paraId="497E6538" w14:textId="77777777" w:rsidR="00E95F72" w:rsidRPr="00572B7C" w:rsidRDefault="00E95F72" w:rsidP="00F132D6">
            <w:pPr>
              <w:spacing w:after="0" w:line="240" w:lineRule="auto"/>
              <w:jc w:val="right"/>
              <w:rPr>
                <w:rFonts w:eastAsia="Times New Roman"/>
                <w:color w:val="000000"/>
                <w:lang w:eastAsia="es-CL"/>
              </w:rPr>
            </w:pPr>
            <w:r w:rsidRPr="00572B7C">
              <w:rPr>
                <w:rFonts w:eastAsia="Times New Roman"/>
                <w:color w:val="000000"/>
                <w:lang w:eastAsia="es-CL"/>
              </w:rPr>
              <w:t>63,7%</w:t>
            </w:r>
          </w:p>
        </w:tc>
      </w:tr>
      <w:tr w:rsidR="00E95F72" w:rsidRPr="00572B7C" w14:paraId="7E1B1E8C" w14:textId="77777777" w:rsidTr="00F132D6">
        <w:trPr>
          <w:trHeight w:val="315"/>
          <w:jc w:val="center"/>
        </w:trPr>
        <w:tc>
          <w:tcPr>
            <w:tcW w:w="3016" w:type="dxa"/>
            <w:tcBorders>
              <w:top w:val="nil"/>
              <w:left w:val="single" w:sz="8" w:space="0" w:color="auto"/>
              <w:bottom w:val="single" w:sz="8" w:space="0" w:color="auto"/>
              <w:right w:val="single" w:sz="4" w:space="0" w:color="auto"/>
            </w:tcBorders>
            <w:shd w:val="clear" w:color="auto" w:fill="auto"/>
            <w:noWrap/>
            <w:vAlign w:val="bottom"/>
            <w:hideMark/>
          </w:tcPr>
          <w:p w14:paraId="7A34FF94" w14:textId="77777777" w:rsidR="00E95F72" w:rsidRPr="00572B7C" w:rsidRDefault="00E95F72" w:rsidP="00F132D6">
            <w:pPr>
              <w:spacing w:after="0" w:line="240" w:lineRule="auto"/>
              <w:rPr>
                <w:rFonts w:eastAsia="Times New Roman"/>
                <w:color w:val="000000"/>
                <w:lang w:eastAsia="es-CL"/>
              </w:rPr>
            </w:pPr>
            <w:r w:rsidRPr="00572B7C">
              <w:rPr>
                <w:rFonts w:eastAsia="Times New Roman"/>
                <w:color w:val="000000"/>
                <w:lang w:eastAsia="es-CL"/>
              </w:rPr>
              <w:t>TOTAL</w:t>
            </w:r>
          </w:p>
        </w:tc>
        <w:tc>
          <w:tcPr>
            <w:tcW w:w="1026" w:type="dxa"/>
            <w:tcBorders>
              <w:top w:val="nil"/>
              <w:left w:val="nil"/>
              <w:bottom w:val="single" w:sz="8" w:space="0" w:color="auto"/>
              <w:right w:val="single" w:sz="4" w:space="0" w:color="auto"/>
            </w:tcBorders>
            <w:shd w:val="clear" w:color="auto" w:fill="auto"/>
            <w:noWrap/>
            <w:vAlign w:val="bottom"/>
            <w:hideMark/>
          </w:tcPr>
          <w:p w14:paraId="5E3DC01C" w14:textId="77777777" w:rsidR="00E95F72" w:rsidRPr="00572B7C" w:rsidRDefault="00E95F72" w:rsidP="00F132D6">
            <w:pPr>
              <w:spacing w:after="0" w:line="240" w:lineRule="auto"/>
              <w:jc w:val="right"/>
              <w:rPr>
                <w:rFonts w:eastAsia="Times New Roman"/>
                <w:b/>
                <w:bCs/>
                <w:color w:val="000000"/>
                <w:lang w:eastAsia="es-CL"/>
              </w:rPr>
            </w:pPr>
            <w:r w:rsidRPr="00572B7C">
              <w:rPr>
                <w:rFonts w:eastAsia="Times New Roman"/>
                <w:b/>
                <w:bCs/>
                <w:color w:val="000000"/>
                <w:lang w:eastAsia="es-CL"/>
              </w:rPr>
              <w:t>100%</w:t>
            </w:r>
          </w:p>
        </w:tc>
        <w:tc>
          <w:tcPr>
            <w:tcW w:w="1026" w:type="dxa"/>
            <w:tcBorders>
              <w:top w:val="nil"/>
              <w:left w:val="nil"/>
              <w:bottom w:val="single" w:sz="8" w:space="0" w:color="auto"/>
              <w:right w:val="single" w:sz="4" w:space="0" w:color="auto"/>
            </w:tcBorders>
            <w:shd w:val="clear" w:color="auto" w:fill="auto"/>
            <w:noWrap/>
            <w:vAlign w:val="bottom"/>
            <w:hideMark/>
          </w:tcPr>
          <w:p w14:paraId="01FFC905" w14:textId="77777777" w:rsidR="00E95F72" w:rsidRPr="00572B7C" w:rsidRDefault="00E95F72" w:rsidP="00F132D6">
            <w:pPr>
              <w:spacing w:after="0" w:line="240" w:lineRule="auto"/>
              <w:jc w:val="right"/>
              <w:rPr>
                <w:rFonts w:eastAsia="Times New Roman"/>
                <w:b/>
                <w:bCs/>
                <w:color w:val="000000"/>
                <w:lang w:eastAsia="es-CL"/>
              </w:rPr>
            </w:pPr>
            <w:r w:rsidRPr="00572B7C">
              <w:rPr>
                <w:rFonts w:eastAsia="Times New Roman"/>
                <w:b/>
                <w:bCs/>
                <w:color w:val="000000"/>
                <w:lang w:eastAsia="es-CL"/>
              </w:rPr>
              <w:t>100%</w:t>
            </w:r>
          </w:p>
        </w:tc>
        <w:tc>
          <w:tcPr>
            <w:tcW w:w="1026" w:type="dxa"/>
            <w:tcBorders>
              <w:top w:val="nil"/>
              <w:left w:val="nil"/>
              <w:bottom w:val="single" w:sz="8" w:space="0" w:color="auto"/>
              <w:right w:val="single" w:sz="4" w:space="0" w:color="auto"/>
            </w:tcBorders>
            <w:shd w:val="clear" w:color="auto" w:fill="auto"/>
            <w:noWrap/>
            <w:vAlign w:val="bottom"/>
            <w:hideMark/>
          </w:tcPr>
          <w:p w14:paraId="4CCF65EF" w14:textId="77777777" w:rsidR="00E95F72" w:rsidRPr="00572B7C" w:rsidRDefault="00E95F72" w:rsidP="00F132D6">
            <w:pPr>
              <w:spacing w:after="0" w:line="240" w:lineRule="auto"/>
              <w:jc w:val="right"/>
              <w:rPr>
                <w:rFonts w:eastAsia="Times New Roman"/>
                <w:b/>
                <w:bCs/>
                <w:color w:val="000000"/>
                <w:lang w:eastAsia="es-CL"/>
              </w:rPr>
            </w:pPr>
            <w:r w:rsidRPr="00572B7C">
              <w:rPr>
                <w:rFonts w:eastAsia="Times New Roman"/>
                <w:b/>
                <w:bCs/>
                <w:color w:val="000000"/>
                <w:lang w:eastAsia="es-CL"/>
              </w:rPr>
              <w:t>100%</w:t>
            </w:r>
          </w:p>
        </w:tc>
        <w:tc>
          <w:tcPr>
            <w:tcW w:w="1026" w:type="dxa"/>
            <w:tcBorders>
              <w:top w:val="nil"/>
              <w:left w:val="nil"/>
              <w:bottom w:val="single" w:sz="8" w:space="0" w:color="auto"/>
              <w:right w:val="single" w:sz="8" w:space="0" w:color="auto"/>
            </w:tcBorders>
            <w:shd w:val="clear" w:color="auto" w:fill="auto"/>
            <w:noWrap/>
            <w:vAlign w:val="bottom"/>
            <w:hideMark/>
          </w:tcPr>
          <w:p w14:paraId="4B86669B" w14:textId="77777777" w:rsidR="00E95F72" w:rsidRPr="00572B7C" w:rsidRDefault="00E95F72" w:rsidP="00F132D6">
            <w:pPr>
              <w:spacing w:after="0" w:line="240" w:lineRule="auto"/>
              <w:jc w:val="right"/>
              <w:rPr>
                <w:rFonts w:eastAsia="Times New Roman"/>
                <w:b/>
                <w:bCs/>
                <w:color w:val="000000"/>
                <w:lang w:eastAsia="es-CL"/>
              </w:rPr>
            </w:pPr>
            <w:r w:rsidRPr="00572B7C">
              <w:rPr>
                <w:rFonts w:eastAsia="Times New Roman"/>
                <w:b/>
                <w:bCs/>
                <w:color w:val="000000"/>
                <w:lang w:eastAsia="es-CL"/>
              </w:rPr>
              <w:t>100%</w:t>
            </w:r>
          </w:p>
        </w:tc>
      </w:tr>
    </w:tbl>
    <w:p w14:paraId="716FE3AE" w14:textId="77777777" w:rsidR="00E95F72" w:rsidRPr="00572B7C" w:rsidRDefault="00E95F72" w:rsidP="00E95F72">
      <w:pPr>
        <w:spacing w:after="0"/>
        <w:jc w:val="both"/>
        <w:rPr>
          <w:sz w:val="18"/>
          <w:szCs w:val="18"/>
        </w:rPr>
      </w:pPr>
      <w:r>
        <w:rPr>
          <w:sz w:val="18"/>
          <w:szCs w:val="18"/>
        </w:rPr>
        <w:t xml:space="preserve">                     </w:t>
      </w:r>
      <w:r w:rsidRPr="00572B7C">
        <w:rPr>
          <w:sz w:val="18"/>
          <w:szCs w:val="18"/>
        </w:rPr>
        <w:t>Fuente: Estudio del Gasto (Receptivo), Estimado de Estudio Turismo Interno</w:t>
      </w:r>
    </w:p>
    <w:p w14:paraId="6C7E901B" w14:textId="77777777" w:rsidR="00E95F72" w:rsidRDefault="00E95F72" w:rsidP="00E95F72">
      <w:pPr>
        <w:spacing w:after="0"/>
        <w:jc w:val="center"/>
        <w:rPr>
          <w:b/>
          <w:sz w:val="28"/>
          <w:szCs w:val="28"/>
        </w:rPr>
      </w:pPr>
    </w:p>
    <w:p w14:paraId="4E6B4C6D" w14:textId="77777777" w:rsidR="00E95F72" w:rsidRDefault="00E95F72" w:rsidP="00E95F72">
      <w:pPr>
        <w:spacing w:after="0"/>
        <w:jc w:val="center"/>
        <w:rPr>
          <w:b/>
          <w:sz w:val="28"/>
          <w:szCs w:val="28"/>
        </w:rPr>
      </w:pPr>
    </w:p>
    <w:p w14:paraId="055FCBBE" w14:textId="77777777" w:rsidR="00E95F72" w:rsidRDefault="00E95F72" w:rsidP="00E95F72">
      <w:pPr>
        <w:spacing w:after="0"/>
        <w:jc w:val="center"/>
        <w:rPr>
          <w:b/>
          <w:sz w:val="28"/>
          <w:szCs w:val="28"/>
        </w:rPr>
      </w:pPr>
    </w:p>
    <w:p w14:paraId="4717D8D8" w14:textId="77777777" w:rsidR="00E95F72" w:rsidRDefault="00E95F72" w:rsidP="00E95F72">
      <w:pPr>
        <w:spacing w:after="0"/>
        <w:jc w:val="center"/>
        <w:rPr>
          <w:b/>
          <w:sz w:val="28"/>
          <w:szCs w:val="28"/>
        </w:rPr>
      </w:pPr>
      <w:r>
        <w:rPr>
          <w:noProof/>
          <w:lang w:eastAsia="es-CL"/>
        </w:rPr>
        <w:lastRenderedPageBreak/>
        <w:drawing>
          <wp:inline distT="0" distB="0" distL="0" distR="0" wp14:anchorId="427CF599" wp14:editId="4EE6D29C">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E69F5F" w14:textId="77777777" w:rsidR="00E95F72" w:rsidRPr="00572B7C" w:rsidRDefault="00E95F72" w:rsidP="00E95F72">
      <w:pPr>
        <w:spacing w:after="0"/>
        <w:jc w:val="both"/>
        <w:rPr>
          <w:sz w:val="18"/>
          <w:szCs w:val="18"/>
        </w:rPr>
      </w:pPr>
      <w:r>
        <w:rPr>
          <w:sz w:val="18"/>
          <w:szCs w:val="18"/>
        </w:rPr>
        <w:t xml:space="preserve">                     </w:t>
      </w:r>
      <w:r w:rsidRPr="00572B7C">
        <w:rPr>
          <w:sz w:val="18"/>
          <w:szCs w:val="18"/>
        </w:rPr>
        <w:t>Fuente: Estudio del Gasto (Receptivo), Estimado de Estudio Turismo Interno</w:t>
      </w:r>
    </w:p>
    <w:p w14:paraId="6FAB4495" w14:textId="77777777" w:rsidR="00E95F72" w:rsidRDefault="00E95F72" w:rsidP="00E95F72">
      <w:pPr>
        <w:spacing w:before="240"/>
        <w:ind w:right="49"/>
        <w:jc w:val="both"/>
        <w:rPr>
          <w:rFonts w:asciiTheme="minorHAnsi" w:hAnsiTheme="minorHAnsi"/>
        </w:rPr>
      </w:pPr>
    </w:p>
    <w:p w14:paraId="187304AA" w14:textId="77777777" w:rsidR="00E95F72" w:rsidRPr="00DA1E7D" w:rsidRDefault="00E95F72" w:rsidP="00E95F72">
      <w:pPr>
        <w:spacing w:before="240"/>
        <w:ind w:right="49"/>
        <w:jc w:val="both"/>
        <w:rPr>
          <w:rFonts w:asciiTheme="minorHAnsi" w:hAnsiTheme="minorHAnsi"/>
        </w:rPr>
      </w:pPr>
    </w:p>
    <w:p w14:paraId="1244774C" w14:textId="75D39320" w:rsidR="00E95F72" w:rsidRPr="00E95F72" w:rsidRDefault="00E95F72" w:rsidP="00E95F72">
      <w:pPr>
        <w:spacing w:after="0"/>
        <w:jc w:val="both"/>
      </w:pPr>
    </w:p>
    <w:p w14:paraId="42F4E8EE" w14:textId="77777777" w:rsidR="005138CE" w:rsidRDefault="005138CE">
      <w:pPr>
        <w:spacing w:after="0" w:line="240" w:lineRule="auto"/>
        <w:rPr>
          <w:b/>
          <w:lang w:val="es-ES_tradnl"/>
        </w:rPr>
      </w:pPr>
      <w:r>
        <w:rPr>
          <w:b/>
          <w:lang w:val="es-ES_tradnl"/>
        </w:rPr>
        <w:br w:type="page"/>
      </w:r>
    </w:p>
    <w:p w14:paraId="12DC0D23" w14:textId="6B29F04F" w:rsidR="00865056" w:rsidRPr="00865056" w:rsidRDefault="00865056" w:rsidP="00865056">
      <w:pPr>
        <w:pStyle w:val="Prrafodelista"/>
        <w:numPr>
          <w:ilvl w:val="0"/>
          <w:numId w:val="25"/>
        </w:numPr>
        <w:spacing w:after="0"/>
        <w:jc w:val="both"/>
        <w:rPr>
          <w:b/>
          <w:lang w:val="es-ES_tradnl"/>
        </w:rPr>
      </w:pPr>
      <w:r w:rsidRPr="00865056">
        <w:rPr>
          <w:b/>
          <w:lang w:val="es-ES_tradnl"/>
        </w:rPr>
        <w:lastRenderedPageBreak/>
        <w:t>Exportaciones</w:t>
      </w:r>
    </w:p>
    <w:p w14:paraId="64C20D80" w14:textId="77777777" w:rsidR="00865056" w:rsidRPr="00865056" w:rsidRDefault="00865056" w:rsidP="00865056">
      <w:pPr>
        <w:pStyle w:val="Prrafodelista"/>
        <w:spacing w:after="0"/>
        <w:jc w:val="both"/>
        <w:rPr>
          <w:lang w:val="es-ES_tradnl"/>
        </w:rPr>
      </w:pPr>
    </w:p>
    <w:p w14:paraId="383EAAA1" w14:textId="77777777" w:rsidR="00865056" w:rsidRDefault="00865056" w:rsidP="00865056">
      <w:pPr>
        <w:spacing w:after="0"/>
        <w:jc w:val="both"/>
        <w:rPr>
          <w:rFonts w:asciiTheme="minorHAnsi" w:hAnsiTheme="minorHAnsi"/>
          <w:lang w:val="es-ES_tradnl"/>
        </w:rPr>
      </w:pPr>
      <w:r w:rsidRPr="00DA1E7D">
        <w:rPr>
          <w:rFonts w:asciiTheme="minorHAnsi" w:hAnsiTheme="minorHAnsi"/>
          <w:lang w:val="es-ES_tradnl"/>
        </w:rPr>
        <w:t>Considerando un período de 10 años, del 2005 al 2015, las exportaciones de bienes en Chile han tenido una tasa media de crecimiento de 4,0% (acumulando un 48,3% de crecimiento en 10 años) y las exportaciones de servicios</w:t>
      </w:r>
      <w:r w:rsidRPr="00DA1E7D">
        <w:rPr>
          <w:rStyle w:val="Refdenotaalpie"/>
          <w:rFonts w:asciiTheme="minorHAnsi" w:hAnsiTheme="minorHAnsi"/>
          <w:lang w:val="es-ES_tradnl"/>
        </w:rPr>
        <w:footnoteReference w:id="2"/>
      </w:r>
      <w:r w:rsidRPr="00DA1E7D">
        <w:rPr>
          <w:rFonts w:asciiTheme="minorHAnsi" w:hAnsiTheme="minorHAnsi"/>
          <w:lang w:val="es-ES_tradnl"/>
        </w:rPr>
        <w:t xml:space="preserve"> un 3,2% (acumulando un 36,4% de crecimiento en 10 años). Considerando sólo las divisas por turismo receptivo y el crecimiento que éstas han tenido en los últimos 10 años, lo anterior implica que la participación de turismo en las exportaciones tanto de bienes como de servicios ha llegado, el 2015, a cifras históricas. El 2015, los ingresos por turismo receptivo representaron un 4,7% de las exportaciones de bienes, un 29,8% en las exportaciones de servicios, y un 4,0% de las exportaciones de bienes y servicios. </w:t>
      </w:r>
    </w:p>
    <w:p w14:paraId="6B62FCDE" w14:textId="77777777" w:rsidR="00865056" w:rsidRPr="00DA1E7D" w:rsidRDefault="00865056" w:rsidP="00865056">
      <w:pPr>
        <w:spacing w:after="0"/>
        <w:jc w:val="both"/>
        <w:rPr>
          <w:rFonts w:asciiTheme="minorHAnsi" w:hAnsiTheme="minorHAnsi"/>
          <w:lang w:val="es-ES_tradnl"/>
        </w:rPr>
      </w:pPr>
    </w:p>
    <w:p w14:paraId="05059219" w14:textId="27BFD34E" w:rsidR="00865056" w:rsidRDefault="00865056" w:rsidP="00865056">
      <w:pPr>
        <w:spacing w:after="0"/>
        <w:jc w:val="center"/>
        <w:rPr>
          <w:b/>
          <w:lang w:val="es-ES_tradnl"/>
        </w:rPr>
      </w:pPr>
      <w:r w:rsidRPr="00DA1E7D">
        <w:rPr>
          <w:rFonts w:asciiTheme="minorHAnsi" w:hAnsiTheme="minorHAnsi"/>
          <w:noProof/>
          <w:lang w:eastAsia="es-CL"/>
        </w:rPr>
        <w:drawing>
          <wp:inline distT="0" distB="0" distL="0" distR="0" wp14:anchorId="051A2BC9" wp14:editId="580E6654">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6A2709" w14:textId="09603661" w:rsidR="00865056" w:rsidRPr="00865056" w:rsidRDefault="00865056" w:rsidP="00865056">
      <w:pPr>
        <w:spacing w:after="0"/>
        <w:ind w:left="567"/>
        <w:jc w:val="both"/>
        <w:rPr>
          <w:rFonts w:asciiTheme="minorHAnsi" w:hAnsiTheme="minorHAnsi"/>
          <w:sz w:val="18"/>
          <w:szCs w:val="18"/>
          <w:lang w:val="es-ES_tradnl"/>
        </w:rPr>
      </w:pPr>
      <w:r w:rsidRPr="00865056">
        <w:rPr>
          <w:rFonts w:asciiTheme="minorHAnsi" w:hAnsiTheme="minorHAnsi"/>
          <w:sz w:val="18"/>
          <w:szCs w:val="18"/>
          <w:lang w:val="es-ES_tradnl"/>
        </w:rPr>
        <w:t xml:space="preserve">     </w:t>
      </w:r>
      <w:r>
        <w:rPr>
          <w:rFonts w:asciiTheme="minorHAnsi" w:hAnsiTheme="minorHAnsi"/>
          <w:sz w:val="18"/>
          <w:szCs w:val="18"/>
          <w:lang w:val="es-ES_tradnl"/>
        </w:rPr>
        <w:t xml:space="preserve"> </w:t>
      </w:r>
      <w:r w:rsidRPr="00865056">
        <w:rPr>
          <w:rFonts w:asciiTheme="minorHAnsi" w:hAnsiTheme="minorHAnsi"/>
          <w:sz w:val="18"/>
          <w:szCs w:val="18"/>
          <w:lang w:val="es-ES_tradnl"/>
        </w:rPr>
        <w:t>Fuente: elaboración propia en base a información del Banco Central de Chile.</w:t>
      </w:r>
    </w:p>
    <w:p w14:paraId="40EEFF32" w14:textId="77777777" w:rsidR="00865056" w:rsidRDefault="00865056" w:rsidP="00865056">
      <w:pPr>
        <w:spacing w:after="0"/>
        <w:jc w:val="both"/>
        <w:rPr>
          <w:b/>
          <w:lang w:val="es-ES_tradnl"/>
        </w:rPr>
      </w:pPr>
    </w:p>
    <w:p w14:paraId="2BC0FB01" w14:textId="77777777" w:rsidR="00865056" w:rsidRDefault="00865056" w:rsidP="00865056">
      <w:pPr>
        <w:spacing w:after="0"/>
        <w:jc w:val="both"/>
        <w:rPr>
          <w:b/>
          <w:lang w:val="es-ES_tradnl"/>
        </w:rPr>
      </w:pPr>
    </w:p>
    <w:p w14:paraId="0C95DBDD" w14:textId="77777777" w:rsidR="00865056" w:rsidRPr="00DA1E7D" w:rsidRDefault="00865056" w:rsidP="00865056">
      <w:pPr>
        <w:spacing w:after="0"/>
        <w:jc w:val="both"/>
        <w:rPr>
          <w:rFonts w:asciiTheme="minorHAnsi" w:hAnsiTheme="minorHAnsi"/>
          <w:lang w:val="es-ES_tradnl"/>
        </w:rPr>
      </w:pPr>
      <w:r w:rsidRPr="00DA1E7D">
        <w:rPr>
          <w:rFonts w:asciiTheme="minorHAnsi" w:hAnsiTheme="minorHAnsi"/>
          <w:lang w:val="es-ES_tradnl"/>
        </w:rPr>
        <w:t>Al comparar los rubros de exportación más relevantes del país, es posible señalar que los ingresos de divisas por turismo receptivo equivalen al 8,9% de las exportaciones de minería (el 2005, turismo representaba un 6% de las exportaciones de minería) y al 94,7% de las exportaciones de salmón, superando en un 57,5% a los ingresos por exportaciones de vino y en un 27,1% a los productos forestales y muebles de madera.</w:t>
      </w:r>
    </w:p>
    <w:p w14:paraId="193B220C" w14:textId="77777777" w:rsidR="00865056" w:rsidRDefault="00865056" w:rsidP="00865056">
      <w:pPr>
        <w:spacing w:after="0"/>
        <w:jc w:val="both"/>
        <w:rPr>
          <w:b/>
          <w:lang w:val="es-ES_tradnl"/>
        </w:rPr>
      </w:pPr>
    </w:p>
    <w:p w14:paraId="5C976F07" w14:textId="77777777" w:rsidR="00865056" w:rsidRDefault="00865056" w:rsidP="00865056">
      <w:pPr>
        <w:spacing w:after="0"/>
        <w:jc w:val="both"/>
        <w:rPr>
          <w:b/>
          <w:lang w:val="es-ES_tradnl"/>
        </w:rPr>
      </w:pPr>
    </w:p>
    <w:tbl>
      <w:tblPr>
        <w:tblW w:w="5500" w:type="dxa"/>
        <w:jc w:val="center"/>
        <w:tblCellMar>
          <w:left w:w="70" w:type="dxa"/>
          <w:right w:w="70" w:type="dxa"/>
        </w:tblCellMar>
        <w:tblLook w:val="04A0" w:firstRow="1" w:lastRow="0" w:firstColumn="1" w:lastColumn="0" w:noHBand="0" w:noVBand="1"/>
      </w:tblPr>
      <w:tblGrid>
        <w:gridCol w:w="4200"/>
        <w:gridCol w:w="1300"/>
      </w:tblGrid>
      <w:tr w:rsidR="00865056" w:rsidRPr="00DA1E7D" w14:paraId="41D95AE2" w14:textId="77777777" w:rsidTr="00F132D6">
        <w:trPr>
          <w:trHeight w:val="300"/>
          <w:jc w:val="center"/>
        </w:trPr>
        <w:tc>
          <w:tcPr>
            <w:tcW w:w="4200" w:type="dxa"/>
            <w:tcBorders>
              <w:top w:val="nil"/>
              <w:left w:val="nil"/>
              <w:bottom w:val="nil"/>
              <w:right w:val="nil"/>
            </w:tcBorders>
            <w:shd w:val="clear" w:color="auto" w:fill="auto"/>
            <w:noWrap/>
            <w:vAlign w:val="bottom"/>
            <w:hideMark/>
          </w:tcPr>
          <w:p w14:paraId="7A385D56" w14:textId="77777777" w:rsidR="00865056" w:rsidRPr="00DA1E7D" w:rsidRDefault="00865056" w:rsidP="00F132D6">
            <w:pPr>
              <w:spacing w:after="0" w:line="240" w:lineRule="auto"/>
              <w:rPr>
                <w:rFonts w:asciiTheme="minorHAnsi" w:eastAsia="Times New Roman" w:hAnsiTheme="minorHAnsi"/>
                <w:lang w:eastAsia="es-CL"/>
              </w:rPr>
            </w:pPr>
          </w:p>
        </w:tc>
        <w:tc>
          <w:tcPr>
            <w:tcW w:w="1300" w:type="dxa"/>
            <w:tcBorders>
              <w:top w:val="nil"/>
              <w:left w:val="nil"/>
              <w:bottom w:val="nil"/>
              <w:right w:val="nil"/>
            </w:tcBorders>
            <w:shd w:val="clear" w:color="auto" w:fill="auto"/>
            <w:noWrap/>
            <w:vAlign w:val="bottom"/>
            <w:hideMark/>
          </w:tcPr>
          <w:p w14:paraId="5F61B13D" w14:textId="77777777" w:rsidR="00865056" w:rsidRPr="00DA1E7D" w:rsidRDefault="00865056" w:rsidP="00F132D6">
            <w:pPr>
              <w:spacing w:after="0" w:line="240" w:lineRule="auto"/>
              <w:rPr>
                <w:rFonts w:asciiTheme="minorHAnsi" w:eastAsia="Times New Roman" w:hAnsiTheme="minorHAnsi"/>
                <w:lang w:eastAsia="es-CL"/>
              </w:rPr>
            </w:pPr>
            <w:r w:rsidRPr="00DA1E7D">
              <w:rPr>
                <w:rFonts w:asciiTheme="minorHAnsi" w:eastAsia="Times New Roman" w:hAnsiTheme="minorHAnsi"/>
                <w:lang w:eastAsia="es-CL"/>
              </w:rPr>
              <w:t>Participación</w:t>
            </w:r>
          </w:p>
        </w:tc>
      </w:tr>
      <w:tr w:rsidR="00865056" w:rsidRPr="00DA1E7D" w14:paraId="6E361D96" w14:textId="77777777" w:rsidTr="00F132D6">
        <w:trPr>
          <w:trHeight w:val="300"/>
          <w:jc w:val="center"/>
        </w:trPr>
        <w:tc>
          <w:tcPr>
            <w:tcW w:w="4200" w:type="dxa"/>
            <w:tcBorders>
              <w:top w:val="single" w:sz="4" w:space="0" w:color="auto"/>
              <w:left w:val="single" w:sz="4" w:space="0" w:color="auto"/>
              <w:bottom w:val="single" w:sz="4" w:space="0" w:color="auto"/>
              <w:right w:val="single" w:sz="4" w:space="0" w:color="auto"/>
            </w:tcBorders>
            <w:shd w:val="clear" w:color="000000" w:fill="auto"/>
            <w:noWrap/>
            <w:hideMark/>
          </w:tcPr>
          <w:p w14:paraId="4A807541"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t>Minería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1F20B2"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8,9%</w:t>
            </w:r>
          </w:p>
        </w:tc>
      </w:tr>
      <w:tr w:rsidR="00865056" w:rsidRPr="00DA1E7D" w14:paraId="0B2D5BDD"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2D19E3ED"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t>Sector frutícola</w:t>
            </w:r>
          </w:p>
        </w:tc>
        <w:tc>
          <w:tcPr>
            <w:tcW w:w="1300" w:type="dxa"/>
            <w:tcBorders>
              <w:top w:val="nil"/>
              <w:left w:val="nil"/>
              <w:bottom w:val="single" w:sz="4" w:space="0" w:color="auto"/>
              <w:right w:val="single" w:sz="4" w:space="0" w:color="auto"/>
            </w:tcBorders>
            <w:shd w:val="clear" w:color="auto" w:fill="auto"/>
            <w:noWrap/>
            <w:vAlign w:val="bottom"/>
            <w:hideMark/>
          </w:tcPr>
          <w:p w14:paraId="5549CC3E"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64,0%</w:t>
            </w:r>
          </w:p>
        </w:tc>
      </w:tr>
      <w:tr w:rsidR="00865056" w:rsidRPr="00DA1E7D" w14:paraId="0B661FD6"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6629F1FE"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lastRenderedPageBreak/>
              <w:t>Productos químicos</w:t>
            </w:r>
          </w:p>
        </w:tc>
        <w:tc>
          <w:tcPr>
            <w:tcW w:w="1300" w:type="dxa"/>
            <w:tcBorders>
              <w:top w:val="nil"/>
              <w:left w:val="nil"/>
              <w:bottom w:val="single" w:sz="4" w:space="0" w:color="auto"/>
              <w:right w:val="single" w:sz="4" w:space="0" w:color="auto"/>
            </w:tcBorders>
            <w:shd w:val="clear" w:color="auto" w:fill="auto"/>
            <w:noWrap/>
            <w:vAlign w:val="bottom"/>
            <w:hideMark/>
          </w:tcPr>
          <w:p w14:paraId="72358CC4"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66,3%</w:t>
            </w:r>
          </w:p>
        </w:tc>
      </w:tr>
      <w:tr w:rsidR="00865056" w:rsidRPr="00DA1E7D" w14:paraId="74E0C3E7"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67E0061E"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t>Celulosa, papel y otros</w:t>
            </w:r>
          </w:p>
        </w:tc>
        <w:tc>
          <w:tcPr>
            <w:tcW w:w="1300" w:type="dxa"/>
            <w:tcBorders>
              <w:top w:val="nil"/>
              <w:left w:val="nil"/>
              <w:bottom w:val="single" w:sz="4" w:space="0" w:color="auto"/>
              <w:right w:val="single" w:sz="4" w:space="0" w:color="auto"/>
            </w:tcBorders>
            <w:shd w:val="clear" w:color="auto" w:fill="auto"/>
            <w:noWrap/>
            <w:vAlign w:val="bottom"/>
            <w:hideMark/>
          </w:tcPr>
          <w:p w14:paraId="1857A1A4"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91,9%</w:t>
            </w:r>
          </w:p>
        </w:tc>
      </w:tr>
      <w:tr w:rsidR="00865056" w:rsidRPr="00DA1E7D" w14:paraId="70AD5F8A"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6DC85F04"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t>Salmón</w:t>
            </w:r>
          </w:p>
        </w:tc>
        <w:tc>
          <w:tcPr>
            <w:tcW w:w="1300" w:type="dxa"/>
            <w:tcBorders>
              <w:top w:val="nil"/>
              <w:left w:val="nil"/>
              <w:bottom w:val="single" w:sz="4" w:space="0" w:color="auto"/>
              <w:right w:val="single" w:sz="4" w:space="0" w:color="auto"/>
            </w:tcBorders>
            <w:shd w:val="clear" w:color="auto" w:fill="auto"/>
            <w:noWrap/>
            <w:vAlign w:val="bottom"/>
            <w:hideMark/>
          </w:tcPr>
          <w:p w14:paraId="3AF1FE16"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94,7%</w:t>
            </w:r>
          </w:p>
        </w:tc>
      </w:tr>
      <w:tr w:rsidR="00865056" w:rsidRPr="00DA1E7D" w14:paraId="45801D3F"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46373143"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t>Productos metálicos, maquinaria y equipos</w:t>
            </w:r>
          </w:p>
        </w:tc>
        <w:tc>
          <w:tcPr>
            <w:tcW w:w="1300" w:type="dxa"/>
            <w:tcBorders>
              <w:top w:val="nil"/>
              <w:left w:val="nil"/>
              <w:bottom w:val="single" w:sz="4" w:space="0" w:color="auto"/>
              <w:right w:val="single" w:sz="4" w:space="0" w:color="auto"/>
            </w:tcBorders>
            <w:shd w:val="clear" w:color="auto" w:fill="auto"/>
            <w:noWrap/>
            <w:vAlign w:val="bottom"/>
            <w:hideMark/>
          </w:tcPr>
          <w:p w14:paraId="4E69A231"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118,7%</w:t>
            </w:r>
          </w:p>
        </w:tc>
      </w:tr>
      <w:tr w:rsidR="00865056" w:rsidRPr="00DA1E7D" w14:paraId="09FF3575"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5EEEE5DB"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t>Forestal y muebles de madera</w:t>
            </w:r>
          </w:p>
        </w:tc>
        <w:tc>
          <w:tcPr>
            <w:tcW w:w="1300" w:type="dxa"/>
            <w:tcBorders>
              <w:top w:val="nil"/>
              <w:left w:val="nil"/>
              <w:bottom w:val="single" w:sz="4" w:space="0" w:color="auto"/>
              <w:right w:val="single" w:sz="4" w:space="0" w:color="auto"/>
            </w:tcBorders>
            <w:shd w:val="clear" w:color="auto" w:fill="auto"/>
            <w:noWrap/>
            <w:vAlign w:val="bottom"/>
            <w:hideMark/>
          </w:tcPr>
          <w:p w14:paraId="0DF4F8F3"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127,1%</w:t>
            </w:r>
          </w:p>
        </w:tc>
      </w:tr>
      <w:tr w:rsidR="00865056" w:rsidRPr="00DA1E7D" w14:paraId="3709CF8F"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1EB27F4E" w14:textId="77777777" w:rsidR="00865056" w:rsidRPr="00DA1E7D" w:rsidRDefault="00865056" w:rsidP="00F132D6">
            <w:pPr>
              <w:spacing w:after="0" w:line="240" w:lineRule="auto"/>
              <w:jc w:val="both"/>
              <w:rPr>
                <w:rFonts w:asciiTheme="minorHAnsi" w:eastAsia="Times New Roman" w:hAnsiTheme="minorHAnsi"/>
                <w:lang w:eastAsia="es-CL"/>
              </w:rPr>
            </w:pPr>
            <w:r w:rsidRPr="00DA1E7D">
              <w:rPr>
                <w:rFonts w:asciiTheme="minorHAnsi" w:eastAsia="Times New Roman" w:hAnsiTheme="minorHAnsi"/>
                <w:lang w:eastAsia="es-CL"/>
              </w:rPr>
              <w:t>Vino</w:t>
            </w:r>
          </w:p>
        </w:tc>
        <w:tc>
          <w:tcPr>
            <w:tcW w:w="1300" w:type="dxa"/>
            <w:tcBorders>
              <w:top w:val="nil"/>
              <w:left w:val="nil"/>
              <w:bottom w:val="single" w:sz="4" w:space="0" w:color="auto"/>
              <w:right w:val="single" w:sz="4" w:space="0" w:color="auto"/>
            </w:tcBorders>
            <w:shd w:val="clear" w:color="auto" w:fill="auto"/>
            <w:noWrap/>
            <w:vAlign w:val="bottom"/>
            <w:hideMark/>
          </w:tcPr>
          <w:p w14:paraId="40CA96D9"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157,5%</w:t>
            </w:r>
          </w:p>
        </w:tc>
      </w:tr>
      <w:tr w:rsidR="00865056" w:rsidRPr="00DA1E7D" w14:paraId="4E5E177A" w14:textId="77777777" w:rsidTr="00F132D6">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0E6C7ACB" w14:textId="77777777" w:rsidR="00865056" w:rsidRPr="00DA1E7D" w:rsidRDefault="00865056" w:rsidP="00F132D6">
            <w:pPr>
              <w:spacing w:after="0" w:line="240" w:lineRule="auto"/>
              <w:jc w:val="both"/>
              <w:rPr>
                <w:rFonts w:asciiTheme="minorHAnsi" w:eastAsia="Times New Roman" w:hAnsiTheme="minorHAnsi"/>
                <w:b/>
                <w:bCs/>
                <w:lang w:eastAsia="es-CL"/>
              </w:rPr>
            </w:pPr>
            <w:r w:rsidRPr="00DA1E7D">
              <w:rPr>
                <w:rFonts w:asciiTheme="minorHAnsi" w:eastAsia="Times New Roman" w:hAnsiTheme="minorHAnsi"/>
                <w:b/>
                <w:bCs/>
                <w:lang w:eastAsia="es-CL"/>
              </w:rPr>
              <w:t>Turismo</w:t>
            </w:r>
          </w:p>
        </w:tc>
        <w:tc>
          <w:tcPr>
            <w:tcW w:w="1300" w:type="dxa"/>
            <w:tcBorders>
              <w:top w:val="nil"/>
              <w:left w:val="nil"/>
              <w:bottom w:val="single" w:sz="4" w:space="0" w:color="auto"/>
              <w:right w:val="single" w:sz="4" w:space="0" w:color="auto"/>
            </w:tcBorders>
            <w:shd w:val="clear" w:color="auto" w:fill="auto"/>
            <w:noWrap/>
            <w:vAlign w:val="bottom"/>
            <w:hideMark/>
          </w:tcPr>
          <w:p w14:paraId="72AF690D" w14:textId="77777777" w:rsidR="00865056" w:rsidRPr="00DA1E7D" w:rsidRDefault="00865056" w:rsidP="00F132D6">
            <w:pPr>
              <w:spacing w:after="0" w:line="240" w:lineRule="auto"/>
              <w:jc w:val="center"/>
              <w:rPr>
                <w:rFonts w:asciiTheme="minorHAnsi" w:eastAsia="Times New Roman" w:hAnsiTheme="minorHAnsi"/>
                <w:lang w:eastAsia="es-CL"/>
              </w:rPr>
            </w:pPr>
            <w:r w:rsidRPr="00DA1E7D">
              <w:rPr>
                <w:rFonts w:asciiTheme="minorHAnsi" w:eastAsia="Times New Roman" w:hAnsiTheme="minorHAnsi"/>
                <w:lang w:eastAsia="es-CL"/>
              </w:rPr>
              <w:t>100,0%</w:t>
            </w:r>
          </w:p>
        </w:tc>
      </w:tr>
    </w:tbl>
    <w:p w14:paraId="0AB771A0" w14:textId="7E6D762C" w:rsidR="00865056" w:rsidRPr="00865056" w:rsidRDefault="00865056" w:rsidP="00865056">
      <w:pPr>
        <w:spacing w:after="0"/>
        <w:ind w:left="567"/>
        <w:jc w:val="both"/>
        <w:rPr>
          <w:rFonts w:asciiTheme="minorHAnsi" w:hAnsiTheme="minorHAnsi"/>
          <w:sz w:val="18"/>
          <w:szCs w:val="18"/>
          <w:lang w:val="es-ES_tradnl"/>
        </w:rPr>
      </w:pPr>
      <w:r w:rsidRPr="00865056">
        <w:rPr>
          <w:rFonts w:asciiTheme="minorHAnsi" w:hAnsiTheme="minorHAnsi"/>
          <w:sz w:val="18"/>
          <w:szCs w:val="18"/>
          <w:lang w:val="es-ES_tradnl"/>
        </w:rPr>
        <w:t xml:space="preserve">                      </w:t>
      </w:r>
      <w:r>
        <w:rPr>
          <w:rFonts w:asciiTheme="minorHAnsi" w:hAnsiTheme="minorHAnsi"/>
          <w:sz w:val="18"/>
          <w:szCs w:val="18"/>
          <w:lang w:val="es-ES_tradnl"/>
        </w:rPr>
        <w:t xml:space="preserve">     </w:t>
      </w:r>
      <w:r w:rsidRPr="00865056">
        <w:rPr>
          <w:rFonts w:asciiTheme="minorHAnsi" w:hAnsiTheme="minorHAnsi"/>
          <w:sz w:val="18"/>
          <w:szCs w:val="18"/>
          <w:lang w:val="es-ES_tradnl"/>
        </w:rPr>
        <w:t>Fuente: elaboración propia en base a información del Banco Central de Chile.</w:t>
      </w:r>
    </w:p>
    <w:p w14:paraId="388B3BB5" w14:textId="4B12DC10" w:rsidR="00865056" w:rsidRDefault="00865056" w:rsidP="00865056">
      <w:pPr>
        <w:spacing w:after="0"/>
        <w:jc w:val="center"/>
        <w:rPr>
          <w:b/>
          <w:lang w:val="es-ES_tradnl"/>
        </w:rPr>
      </w:pPr>
    </w:p>
    <w:p w14:paraId="6916656B" w14:textId="77777777" w:rsidR="00865056" w:rsidRDefault="00865056" w:rsidP="00865056">
      <w:pPr>
        <w:spacing w:after="0"/>
        <w:jc w:val="center"/>
        <w:rPr>
          <w:b/>
          <w:lang w:val="es-ES_tradnl"/>
        </w:rPr>
      </w:pPr>
    </w:p>
    <w:p w14:paraId="288E6E4B" w14:textId="77777777" w:rsidR="00865056" w:rsidRPr="00DA1E7D" w:rsidRDefault="00865056" w:rsidP="00865056">
      <w:pPr>
        <w:spacing w:after="0"/>
        <w:jc w:val="both"/>
        <w:rPr>
          <w:rFonts w:asciiTheme="minorHAnsi" w:hAnsiTheme="minorHAnsi"/>
          <w:lang w:val="es-ES_tradnl"/>
        </w:rPr>
      </w:pPr>
      <w:r w:rsidRPr="00DA1E7D">
        <w:rPr>
          <w:rFonts w:asciiTheme="minorHAnsi" w:hAnsiTheme="minorHAnsi"/>
          <w:lang w:val="es-ES_tradnl"/>
        </w:rPr>
        <w:t>El 2015 es el primer año en que los ingresos por turismo, superan a las ventas de productos metálicos, maquinaria y equipos. Por lo tanto, considerando los principales rubros de exportación de bienes del país, Turismo se ubica en el 6° lugar de las exportaciones de bienes y se espera que a futuro siga escalando posiciones.</w:t>
      </w:r>
    </w:p>
    <w:p w14:paraId="7B2A01C5" w14:textId="77777777" w:rsidR="00865056" w:rsidRPr="00DA1E7D" w:rsidRDefault="00865056" w:rsidP="00865056">
      <w:pPr>
        <w:spacing w:after="0"/>
        <w:jc w:val="both"/>
        <w:rPr>
          <w:rFonts w:asciiTheme="minorHAnsi" w:hAnsiTheme="minorHAnsi"/>
          <w:lang w:val="es-ES_tradnl"/>
        </w:rPr>
      </w:pPr>
    </w:p>
    <w:p w14:paraId="1592CA32" w14:textId="77777777" w:rsidR="00865056" w:rsidRPr="00DA1E7D" w:rsidRDefault="00865056" w:rsidP="00865056">
      <w:pPr>
        <w:pStyle w:val="Prrafodelista"/>
        <w:rPr>
          <w:rFonts w:asciiTheme="minorHAnsi" w:hAnsiTheme="minorHAnsi"/>
          <w:lang w:val="es-ES_tradnl"/>
        </w:rPr>
      </w:pPr>
    </w:p>
    <w:p w14:paraId="3B639BBC" w14:textId="77777777" w:rsidR="00865056" w:rsidRPr="00DA1E7D" w:rsidRDefault="00865056" w:rsidP="00865056">
      <w:pPr>
        <w:spacing w:after="0"/>
        <w:ind w:left="567"/>
        <w:jc w:val="center"/>
        <w:rPr>
          <w:rFonts w:asciiTheme="minorHAnsi" w:hAnsiTheme="minorHAnsi"/>
          <w:lang w:val="es-ES_tradnl"/>
        </w:rPr>
      </w:pPr>
      <w:r w:rsidRPr="00DA1E7D">
        <w:rPr>
          <w:rFonts w:asciiTheme="minorHAnsi" w:hAnsiTheme="minorHAnsi"/>
          <w:noProof/>
          <w:lang w:eastAsia="es-CL"/>
        </w:rPr>
        <mc:AlternateContent>
          <mc:Choice Requires="wps">
            <w:drawing>
              <wp:anchor distT="0" distB="0" distL="114300" distR="114300" simplePos="0" relativeHeight="251659264" behindDoc="0" locked="0" layoutInCell="1" allowOverlap="1" wp14:anchorId="5C1438D4" wp14:editId="0ED513C8">
                <wp:simplePos x="0" y="0"/>
                <wp:positionH relativeFrom="column">
                  <wp:posOffset>539115</wp:posOffset>
                </wp:positionH>
                <wp:positionV relativeFrom="paragraph">
                  <wp:posOffset>365125</wp:posOffset>
                </wp:positionV>
                <wp:extent cx="133350" cy="17145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133350" cy="171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B2D18" id="Rectángulo 30" o:spid="_x0000_s1026" style="position:absolute;margin-left:42.45pt;margin-top:28.75pt;width:10.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" fillcolor="white [3212]" strokecolor="white [3212]" strokeweight="1pt"/>
            </w:pict>
          </mc:Fallback>
        </mc:AlternateContent>
      </w:r>
      <w:r w:rsidRPr="00DA1E7D">
        <w:rPr>
          <w:rFonts w:asciiTheme="minorHAnsi" w:hAnsiTheme="minorHAnsi"/>
          <w:noProof/>
          <w:lang w:eastAsia="es-CL"/>
        </w:rPr>
        <w:drawing>
          <wp:inline distT="0" distB="0" distL="0" distR="0" wp14:anchorId="1F648F50" wp14:editId="6FDAB79E">
            <wp:extent cx="5010150" cy="2276475"/>
            <wp:effectExtent l="0" t="0" r="0" b="9525"/>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5A3E48" w14:textId="77777777" w:rsidR="00865056" w:rsidRPr="00B87FE3" w:rsidRDefault="00865056" w:rsidP="00865056">
      <w:pPr>
        <w:spacing w:after="0"/>
        <w:ind w:left="567"/>
        <w:jc w:val="both"/>
        <w:rPr>
          <w:rFonts w:asciiTheme="minorHAnsi" w:hAnsiTheme="minorHAnsi"/>
          <w:sz w:val="18"/>
          <w:szCs w:val="18"/>
          <w:lang w:val="es-ES_tradnl"/>
        </w:rPr>
      </w:pPr>
      <w:r w:rsidRPr="00B87FE3">
        <w:rPr>
          <w:rFonts w:asciiTheme="minorHAnsi" w:hAnsiTheme="minorHAnsi"/>
          <w:sz w:val="18"/>
          <w:szCs w:val="18"/>
          <w:lang w:val="es-ES_tradnl"/>
        </w:rPr>
        <w:t xml:space="preserve">  Fuente: elaboración propia en base a información del Banco Central de Chile.</w:t>
      </w:r>
    </w:p>
    <w:p w14:paraId="1B3DAFD0" w14:textId="77777777" w:rsidR="00865056" w:rsidRDefault="00865056" w:rsidP="00865056">
      <w:pPr>
        <w:spacing w:after="0"/>
        <w:jc w:val="center"/>
        <w:rPr>
          <w:b/>
          <w:lang w:val="es-ES_tradnl"/>
        </w:rPr>
      </w:pPr>
    </w:p>
    <w:p w14:paraId="27B41D62" w14:textId="528D1E6B" w:rsidR="00E95F72" w:rsidRPr="00DA1E7D" w:rsidRDefault="00B87FE3" w:rsidP="00B87FE3">
      <w:pPr>
        <w:pStyle w:val="Prrafodelista"/>
        <w:spacing w:after="0"/>
        <w:ind w:right="760" w:hanging="578"/>
        <w:jc w:val="center"/>
        <w:rPr>
          <w:rFonts w:asciiTheme="minorHAnsi" w:hAnsiTheme="minorHAnsi"/>
          <w:lang w:val="es-ES_tradnl"/>
        </w:rPr>
      </w:pPr>
      <w:r>
        <w:rPr>
          <w:noProof/>
          <w:lang w:eastAsia="es-CL"/>
        </w:rPr>
        <w:lastRenderedPageBreak/>
        <w:drawing>
          <wp:inline distT="0" distB="0" distL="0" distR="0" wp14:anchorId="0AD4D767" wp14:editId="3E0052C0">
            <wp:extent cx="5613400" cy="3806825"/>
            <wp:effectExtent l="0" t="0" r="6350"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D7FEE2" w14:textId="7F77CA71" w:rsidR="00E95F72" w:rsidRPr="00E95F72" w:rsidRDefault="00E95F72" w:rsidP="00B87FE3">
      <w:pPr>
        <w:spacing w:after="0"/>
        <w:jc w:val="both"/>
        <w:rPr>
          <w:rFonts w:asciiTheme="minorHAnsi" w:hAnsiTheme="minorHAnsi"/>
          <w:sz w:val="18"/>
          <w:szCs w:val="18"/>
          <w:lang w:val="es-ES_tradnl"/>
        </w:rPr>
      </w:pPr>
      <w:r w:rsidRPr="00E95F72">
        <w:rPr>
          <w:rFonts w:asciiTheme="minorHAnsi" w:hAnsiTheme="minorHAnsi"/>
          <w:sz w:val="18"/>
          <w:szCs w:val="18"/>
          <w:lang w:val="es-ES_tradnl"/>
        </w:rPr>
        <w:t>Fuente: elaboración propia en base a información del Banco Central de Chile</w:t>
      </w:r>
      <w:r w:rsidR="00B87FE3">
        <w:rPr>
          <w:rFonts w:asciiTheme="minorHAnsi" w:hAnsiTheme="minorHAnsi"/>
          <w:sz w:val="18"/>
          <w:szCs w:val="18"/>
          <w:lang w:val="es-ES_tradnl"/>
        </w:rPr>
        <w:t>, Balanza de Pagos</w:t>
      </w:r>
      <w:r w:rsidRPr="00E95F72">
        <w:rPr>
          <w:rFonts w:asciiTheme="minorHAnsi" w:hAnsiTheme="minorHAnsi"/>
          <w:sz w:val="18"/>
          <w:szCs w:val="18"/>
          <w:lang w:val="es-ES_tradnl"/>
        </w:rPr>
        <w:t>.</w:t>
      </w:r>
    </w:p>
    <w:p w14:paraId="0EA69523" w14:textId="77777777" w:rsidR="00E95F72" w:rsidRDefault="00E95F72" w:rsidP="00865056">
      <w:pPr>
        <w:spacing w:after="0"/>
        <w:jc w:val="center"/>
        <w:rPr>
          <w:b/>
          <w:lang w:val="es-ES_tradnl"/>
        </w:rPr>
      </w:pPr>
    </w:p>
    <w:p w14:paraId="29A5EEDA" w14:textId="77777777" w:rsidR="005138CE" w:rsidRDefault="005138CE">
      <w:pPr>
        <w:spacing w:after="0" w:line="240" w:lineRule="auto"/>
        <w:rPr>
          <w:b/>
          <w:lang w:val="es-ES_tradnl"/>
        </w:rPr>
      </w:pPr>
      <w:r>
        <w:rPr>
          <w:b/>
          <w:lang w:val="es-ES_tradnl"/>
        </w:rPr>
        <w:br w:type="page"/>
      </w:r>
    </w:p>
    <w:p w14:paraId="1A231AE3" w14:textId="4898D165" w:rsidR="00E95F72" w:rsidRDefault="00E95F72" w:rsidP="00E95F72">
      <w:pPr>
        <w:pStyle w:val="Prrafodelista"/>
        <w:numPr>
          <w:ilvl w:val="0"/>
          <w:numId w:val="25"/>
        </w:numPr>
        <w:spacing w:after="0"/>
        <w:jc w:val="both"/>
        <w:rPr>
          <w:b/>
          <w:lang w:val="es-ES_tradnl"/>
        </w:rPr>
      </w:pPr>
      <w:r>
        <w:rPr>
          <w:b/>
          <w:lang w:val="es-ES_tradnl"/>
        </w:rPr>
        <w:lastRenderedPageBreak/>
        <w:t>PIB</w:t>
      </w:r>
    </w:p>
    <w:p w14:paraId="75EB440F" w14:textId="77777777" w:rsidR="00E95F72" w:rsidRDefault="00E95F72" w:rsidP="00E95F72">
      <w:pPr>
        <w:spacing w:after="0"/>
        <w:jc w:val="both"/>
        <w:rPr>
          <w:b/>
          <w:lang w:val="es-ES_tradnl"/>
        </w:rPr>
      </w:pPr>
    </w:p>
    <w:p w14:paraId="3202531B" w14:textId="7596D413" w:rsidR="00E95F72" w:rsidRDefault="00372508" w:rsidP="00E95F72">
      <w:pPr>
        <w:spacing w:after="0"/>
        <w:jc w:val="both"/>
        <w:rPr>
          <w:lang w:val="es-ES_tradnl"/>
        </w:rPr>
      </w:pPr>
      <w:r>
        <w:rPr>
          <w:lang w:val="es-ES_tradnl"/>
        </w:rPr>
        <w:t>Estimaciones del aporte del turismo al PIB Nacional establecen que este alcanzó un 3,4% el 2015</w:t>
      </w:r>
      <w:r>
        <w:rPr>
          <w:rStyle w:val="Refdenotaalpie"/>
          <w:lang w:val="es-ES_tradnl"/>
        </w:rPr>
        <w:footnoteReference w:id="3"/>
      </w:r>
      <w:r>
        <w:rPr>
          <w:lang w:val="es-ES_tradnl"/>
        </w:rPr>
        <w:t>. La misma fuente señala que el aporte del turismo al PIB mundial es de un 3,0%, mientras que conglomerados como Europa y la Alianza del Pacífico alcanzan aportes mayores, 3,5% y 5,4% respectivamente.</w:t>
      </w:r>
    </w:p>
    <w:p w14:paraId="1DC1B9AB" w14:textId="77777777" w:rsidR="00372508" w:rsidRDefault="00372508" w:rsidP="00E95F72">
      <w:pPr>
        <w:spacing w:after="0"/>
        <w:jc w:val="both"/>
        <w:rPr>
          <w:lang w:val="es-ES_tradnl"/>
        </w:rPr>
      </w:pPr>
    </w:p>
    <w:p w14:paraId="2BFCA3B9" w14:textId="6D405473" w:rsidR="00372508" w:rsidRPr="00372508" w:rsidRDefault="00372508" w:rsidP="00372508">
      <w:pPr>
        <w:spacing w:after="0"/>
        <w:jc w:val="center"/>
        <w:rPr>
          <w:b/>
          <w:lang w:val="es-ES_tradnl"/>
        </w:rPr>
      </w:pPr>
      <w:r w:rsidRPr="00372508">
        <w:rPr>
          <w:b/>
          <w:lang w:val="es-ES_tradnl"/>
        </w:rPr>
        <w:t>Aporte del turismo al PIB</w:t>
      </w:r>
      <w:r w:rsidR="00E97A0C">
        <w:rPr>
          <w:b/>
          <w:lang w:val="es-ES_tradnl"/>
        </w:rPr>
        <w:t xml:space="preserve"> nacional</w:t>
      </w:r>
    </w:p>
    <w:p w14:paraId="23862BBB" w14:textId="73D6EB34" w:rsidR="00372508" w:rsidRDefault="00372508" w:rsidP="00E95F72">
      <w:pPr>
        <w:spacing w:after="0"/>
        <w:jc w:val="both"/>
        <w:rPr>
          <w:lang w:val="es-ES_tradnl"/>
        </w:rPr>
      </w:pPr>
      <w:r w:rsidRPr="00372508">
        <w:rPr>
          <w:noProof/>
          <w:lang w:eastAsia="es-CL"/>
        </w:rPr>
        <mc:AlternateContent>
          <mc:Choice Requires="wps">
            <w:drawing>
              <wp:anchor distT="0" distB="0" distL="114300" distR="114300" simplePos="0" relativeHeight="251661312" behindDoc="0" locked="0" layoutInCell="1" allowOverlap="1" wp14:anchorId="2A50A5B7" wp14:editId="6CC6B2AE">
                <wp:simplePos x="0" y="0"/>
                <wp:positionH relativeFrom="column">
                  <wp:posOffset>3644264</wp:posOffset>
                </wp:positionH>
                <wp:positionV relativeFrom="paragraph">
                  <wp:posOffset>735966</wp:posOffset>
                </wp:positionV>
                <wp:extent cx="561975" cy="2552700"/>
                <wp:effectExtent l="0" t="0" r="28575" b="19050"/>
                <wp:wrapNone/>
                <wp:docPr id="12" name="Rectángulo 10"/>
                <wp:cNvGraphicFramePr/>
                <a:graphic xmlns:a="http://schemas.openxmlformats.org/drawingml/2006/main">
                  <a:graphicData uri="http://schemas.microsoft.com/office/word/2010/wordprocessingShape">
                    <wps:wsp>
                      <wps:cNvSpPr/>
                      <wps:spPr>
                        <a:xfrm>
                          <a:off x="0" y="0"/>
                          <a:ext cx="561975" cy="2552700"/>
                        </a:xfrm>
                        <a:prstGeom prst="rect">
                          <a:avLst/>
                        </a:prstGeom>
                        <a:noFill/>
                        <a:ln w="12700">
                          <a:solidFill>
                            <a:srgbClr val="FF0000"/>
                          </a:solidFill>
                          <a:prstDash val="sysDash"/>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AD3D56" id="Rectángulo 10" o:spid="_x0000_s1026" style="position:absolute;margin-left:286.95pt;margin-top:57.95pt;width:44.2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" filled="f" strokecolor="red" strokeweight="1pt">
                <v:stroke dashstyle="3 1"/>
              </v:rect>
            </w:pict>
          </mc:Fallback>
        </mc:AlternateContent>
      </w:r>
      <w:r w:rsidRPr="00372508">
        <w:rPr>
          <w:noProof/>
          <w:lang w:eastAsia="es-CL"/>
        </w:rPr>
        <w:drawing>
          <wp:inline distT="0" distB="0" distL="0" distR="0" wp14:anchorId="40766A7E" wp14:editId="0ED67E8D">
            <wp:extent cx="5613400" cy="3773170"/>
            <wp:effectExtent l="0" t="0" r="6350" b="1778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72508">
        <w:rPr>
          <w:noProof/>
          <w:lang w:eastAsia="es-CL"/>
        </w:rPr>
        <w:t xml:space="preserve"> </w:t>
      </w:r>
    </w:p>
    <w:p w14:paraId="6D486A51" w14:textId="68D7D7FD" w:rsidR="00372508" w:rsidRDefault="00372508" w:rsidP="00E95F72">
      <w:pPr>
        <w:spacing w:after="0"/>
        <w:jc w:val="both"/>
        <w:rPr>
          <w:sz w:val="18"/>
          <w:szCs w:val="18"/>
          <w:lang w:val="es-ES_tradnl"/>
        </w:rPr>
      </w:pPr>
      <w:r w:rsidRPr="00372508">
        <w:rPr>
          <w:sz w:val="18"/>
          <w:szCs w:val="18"/>
          <w:lang w:val="es-ES_tradnl"/>
        </w:rPr>
        <w:t>Fuente: WTTC, 2016</w:t>
      </w:r>
    </w:p>
    <w:p w14:paraId="3B85EE2F" w14:textId="77777777" w:rsidR="00372508" w:rsidRDefault="00372508" w:rsidP="00E95F72">
      <w:pPr>
        <w:spacing w:after="0"/>
        <w:jc w:val="both"/>
        <w:rPr>
          <w:lang w:val="es-ES_tradnl"/>
        </w:rPr>
      </w:pPr>
    </w:p>
    <w:p w14:paraId="1C0F62C9" w14:textId="0CC6B0DA" w:rsidR="00372508" w:rsidRDefault="004469B7" w:rsidP="00E95F72">
      <w:pPr>
        <w:spacing w:after="0"/>
        <w:jc w:val="both"/>
        <w:rPr>
          <w:lang w:val="es-ES_tradnl"/>
        </w:rPr>
      </w:pPr>
      <w:r>
        <w:rPr>
          <w:lang w:val="es-ES_tradnl"/>
        </w:rPr>
        <w:t xml:space="preserve">La estimación que se tiene del PIB entre los años 2008 y 2014 muestran aumentos año a año, y es uno de los sectores que más ha aumentado en los últimos 6 años, sobre todo si se compara con sectores como la Minería y Manufactura. </w:t>
      </w:r>
    </w:p>
    <w:p w14:paraId="3D7B55A4" w14:textId="549E4596" w:rsidR="004469B7" w:rsidRDefault="004469B7">
      <w:pPr>
        <w:spacing w:after="0" w:line="240" w:lineRule="auto"/>
        <w:rPr>
          <w:lang w:val="es-ES_tradnl"/>
        </w:rPr>
      </w:pPr>
      <w:r>
        <w:rPr>
          <w:lang w:val="es-ES_tradnl"/>
        </w:rPr>
        <w:br w:type="page"/>
      </w:r>
    </w:p>
    <w:p w14:paraId="56E06063" w14:textId="77777777" w:rsidR="004469B7" w:rsidRDefault="004469B7" w:rsidP="00E95F72">
      <w:pPr>
        <w:spacing w:after="0"/>
        <w:jc w:val="both"/>
        <w:rPr>
          <w:lang w:val="es-ES_tradnl"/>
        </w:rPr>
      </w:pPr>
    </w:p>
    <w:tbl>
      <w:tblPr>
        <w:tblW w:w="8921" w:type="dxa"/>
        <w:tblCellMar>
          <w:left w:w="70" w:type="dxa"/>
          <w:right w:w="70" w:type="dxa"/>
        </w:tblCellMar>
        <w:tblLook w:val="04A0" w:firstRow="1" w:lastRow="0" w:firstColumn="1" w:lastColumn="0" w:noHBand="0" w:noVBand="1"/>
      </w:tblPr>
      <w:tblGrid>
        <w:gridCol w:w="546"/>
        <w:gridCol w:w="773"/>
        <w:gridCol w:w="1366"/>
        <w:gridCol w:w="1203"/>
        <w:gridCol w:w="918"/>
        <w:gridCol w:w="1280"/>
        <w:gridCol w:w="1034"/>
        <w:gridCol w:w="1092"/>
        <w:gridCol w:w="840"/>
      </w:tblGrid>
      <w:tr w:rsidR="004469B7" w:rsidRPr="004469B7" w14:paraId="45FC761E" w14:textId="77777777" w:rsidTr="004469B7">
        <w:trPr>
          <w:trHeight w:val="300"/>
        </w:trPr>
        <w:tc>
          <w:tcPr>
            <w:tcW w:w="8921" w:type="dxa"/>
            <w:gridSpan w:val="9"/>
            <w:tcBorders>
              <w:top w:val="single" w:sz="4" w:space="0" w:color="auto"/>
              <w:left w:val="single" w:sz="4" w:space="0" w:color="auto"/>
              <w:bottom w:val="nil"/>
              <w:right w:val="single" w:sz="4" w:space="0" w:color="auto"/>
            </w:tcBorders>
            <w:shd w:val="clear" w:color="000000" w:fill="FFFFFF"/>
            <w:noWrap/>
            <w:vAlign w:val="bottom"/>
            <w:hideMark/>
          </w:tcPr>
          <w:p w14:paraId="349B5444"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Participación del PIB Turístico y de Otras Actividades Económicas al PIB Total</w:t>
            </w:r>
          </w:p>
        </w:tc>
      </w:tr>
      <w:tr w:rsidR="004469B7" w:rsidRPr="004469B7" w14:paraId="61673EA7" w14:textId="77777777" w:rsidTr="004469B7">
        <w:trPr>
          <w:trHeight w:val="300"/>
        </w:trPr>
        <w:tc>
          <w:tcPr>
            <w:tcW w:w="8921" w:type="dxa"/>
            <w:gridSpan w:val="9"/>
            <w:tcBorders>
              <w:top w:val="nil"/>
              <w:left w:val="single" w:sz="4" w:space="0" w:color="auto"/>
              <w:bottom w:val="nil"/>
              <w:right w:val="single" w:sz="4" w:space="0" w:color="auto"/>
            </w:tcBorders>
            <w:shd w:val="clear" w:color="000000" w:fill="FFFFFF"/>
            <w:noWrap/>
            <w:vAlign w:val="bottom"/>
            <w:hideMark/>
          </w:tcPr>
          <w:p w14:paraId="014C2655"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a precio encadenados año 2008</w:t>
            </w:r>
          </w:p>
        </w:tc>
      </w:tr>
      <w:tr w:rsidR="004469B7" w:rsidRPr="004469B7" w14:paraId="0EEC645A" w14:textId="77777777" w:rsidTr="004469B7">
        <w:trPr>
          <w:trHeight w:val="315"/>
        </w:trPr>
        <w:tc>
          <w:tcPr>
            <w:tcW w:w="8921" w:type="dxa"/>
            <w:gridSpan w:val="9"/>
            <w:tcBorders>
              <w:top w:val="nil"/>
              <w:left w:val="single" w:sz="4" w:space="0" w:color="auto"/>
              <w:bottom w:val="single" w:sz="4" w:space="0" w:color="auto"/>
              <w:right w:val="single" w:sz="4" w:space="0" w:color="auto"/>
            </w:tcBorders>
            <w:shd w:val="clear" w:color="000000" w:fill="FFFFFF"/>
            <w:noWrap/>
            <w:vAlign w:val="bottom"/>
            <w:hideMark/>
          </w:tcPr>
          <w:p w14:paraId="50DB7A37"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(porcentajes)</w:t>
            </w:r>
          </w:p>
        </w:tc>
      </w:tr>
      <w:tr w:rsidR="004469B7" w:rsidRPr="004469B7" w14:paraId="282B963A" w14:textId="77777777" w:rsidTr="004469B7">
        <w:trPr>
          <w:trHeight w:val="300"/>
        </w:trPr>
        <w:tc>
          <w:tcPr>
            <w:tcW w:w="54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D29867"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Años</w:t>
            </w:r>
          </w:p>
        </w:tc>
        <w:tc>
          <w:tcPr>
            <w:tcW w:w="773" w:type="dxa"/>
            <w:tcBorders>
              <w:top w:val="single" w:sz="4" w:space="0" w:color="auto"/>
              <w:left w:val="nil"/>
              <w:bottom w:val="single" w:sz="4" w:space="0" w:color="auto"/>
              <w:right w:val="single" w:sz="4" w:space="0" w:color="auto"/>
            </w:tcBorders>
            <w:shd w:val="clear" w:color="000000" w:fill="FFFFFF"/>
            <w:noWrap/>
            <w:vAlign w:val="bottom"/>
            <w:hideMark/>
          </w:tcPr>
          <w:p w14:paraId="332D7ABD"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Minería</w:t>
            </w:r>
          </w:p>
        </w:tc>
        <w:tc>
          <w:tcPr>
            <w:tcW w:w="1366" w:type="dxa"/>
            <w:tcBorders>
              <w:top w:val="single" w:sz="4" w:space="0" w:color="auto"/>
              <w:left w:val="nil"/>
              <w:bottom w:val="single" w:sz="4" w:space="0" w:color="auto"/>
              <w:right w:val="single" w:sz="4" w:space="0" w:color="auto"/>
            </w:tcBorders>
            <w:shd w:val="clear" w:color="000000" w:fill="FFFFFF"/>
            <w:noWrap/>
            <w:vAlign w:val="bottom"/>
            <w:hideMark/>
          </w:tcPr>
          <w:p w14:paraId="72CA7DE6"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Industria Manufacturera</w:t>
            </w:r>
          </w:p>
        </w:tc>
        <w:tc>
          <w:tcPr>
            <w:tcW w:w="1203" w:type="dxa"/>
            <w:tcBorders>
              <w:top w:val="single" w:sz="4" w:space="0" w:color="auto"/>
              <w:left w:val="nil"/>
              <w:bottom w:val="single" w:sz="4" w:space="0" w:color="auto"/>
              <w:right w:val="single" w:sz="4" w:space="0" w:color="auto"/>
            </w:tcBorders>
            <w:shd w:val="clear" w:color="000000" w:fill="FFFFFF"/>
            <w:noWrap/>
            <w:vAlign w:val="bottom"/>
            <w:hideMark/>
          </w:tcPr>
          <w:p w14:paraId="5D4CC734"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Construcción</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65831065"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Comercio</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14:paraId="7018F237"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Hoteles y Restaurantes</w:t>
            </w:r>
          </w:p>
        </w:tc>
        <w:tc>
          <w:tcPr>
            <w:tcW w:w="1034" w:type="dxa"/>
            <w:tcBorders>
              <w:top w:val="single" w:sz="4" w:space="0" w:color="auto"/>
              <w:left w:val="nil"/>
              <w:bottom w:val="single" w:sz="4" w:space="0" w:color="auto"/>
              <w:right w:val="single" w:sz="4" w:space="0" w:color="auto"/>
            </w:tcBorders>
            <w:shd w:val="clear" w:color="000000" w:fill="FFFFFF"/>
            <w:noWrap/>
            <w:vAlign w:val="bottom"/>
            <w:hideMark/>
          </w:tcPr>
          <w:p w14:paraId="08112E08"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Transporte</w:t>
            </w:r>
          </w:p>
        </w:tc>
        <w:tc>
          <w:tcPr>
            <w:tcW w:w="1092" w:type="dxa"/>
            <w:tcBorders>
              <w:top w:val="single" w:sz="4" w:space="0" w:color="auto"/>
              <w:left w:val="nil"/>
              <w:bottom w:val="single" w:sz="4" w:space="0" w:color="auto"/>
              <w:right w:val="single" w:sz="4" w:space="0" w:color="auto"/>
            </w:tcBorders>
            <w:shd w:val="clear" w:color="000000" w:fill="FFFFFF"/>
            <w:noWrap/>
            <w:vAlign w:val="bottom"/>
            <w:hideMark/>
          </w:tcPr>
          <w:p w14:paraId="161F9ABD"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 xml:space="preserve">Ss. </w:t>
            </w:r>
            <w:proofErr w:type="spellStart"/>
            <w:r w:rsidRPr="004469B7">
              <w:rPr>
                <w:rFonts w:eastAsia="Times New Roman"/>
                <w:color w:val="000000"/>
                <w:sz w:val="20"/>
                <w:szCs w:val="20"/>
                <w:lang w:eastAsia="es-CL"/>
              </w:rPr>
              <w:t>Financi</w:t>
            </w:r>
            <w:proofErr w:type="spellEnd"/>
            <w:r w:rsidRPr="004469B7">
              <w:rPr>
                <w:rFonts w:eastAsia="Times New Roman"/>
                <w:color w:val="000000"/>
                <w:sz w:val="20"/>
                <w:szCs w:val="20"/>
                <w:lang w:eastAsia="es-CL"/>
              </w:rPr>
              <w:t xml:space="preserve"> y </w:t>
            </w:r>
            <w:proofErr w:type="spellStart"/>
            <w:r w:rsidRPr="004469B7">
              <w:rPr>
                <w:rFonts w:eastAsia="Times New Roman"/>
                <w:color w:val="000000"/>
                <w:sz w:val="20"/>
                <w:szCs w:val="20"/>
                <w:lang w:eastAsia="es-CL"/>
              </w:rPr>
              <w:t>Emp</w:t>
            </w:r>
            <w:proofErr w:type="spellEnd"/>
            <w:r w:rsidRPr="004469B7">
              <w:rPr>
                <w:rFonts w:eastAsia="Times New Roman"/>
                <w:color w:val="000000"/>
                <w:sz w:val="20"/>
                <w:szCs w:val="20"/>
                <w:lang w:eastAsia="es-CL"/>
              </w:rPr>
              <w:t>.</w:t>
            </w:r>
          </w:p>
        </w:tc>
        <w:tc>
          <w:tcPr>
            <w:tcW w:w="709" w:type="dxa"/>
            <w:tcBorders>
              <w:top w:val="single" w:sz="4" w:space="0" w:color="auto"/>
              <w:left w:val="nil"/>
              <w:bottom w:val="single" w:sz="4" w:space="0" w:color="auto"/>
              <w:right w:val="single" w:sz="8" w:space="0" w:color="auto"/>
            </w:tcBorders>
            <w:shd w:val="clear" w:color="000000" w:fill="FFFFFF"/>
            <w:noWrap/>
            <w:vAlign w:val="bottom"/>
            <w:hideMark/>
          </w:tcPr>
          <w:p w14:paraId="557FF01E"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PIB Turístico</w:t>
            </w:r>
          </w:p>
        </w:tc>
      </w:tr>
      <w:tr w:rsidR="004469B7" w:rsidRPr="004469B7" w14:paraId="777EB9BE" w14:textId="77777777" w:rsidTr="004469B7">
        <w:trPr>
          <w:trHeight w:val="300"/>
        </w:trPr>
        <w:tc>
          <w:tcPr>
            <w:tcW w:w="546" w:type="dxa"/>
            <w:tcBorders>
              <w:top w:val="nil"/>
              <w:left w:val="single" w:sz="8" w:space="0" w:color="auto"/>
              <w:bottom w:val="single" w:sz="4" w:space="0" w:color="auto"/>
              <w:right w:val="single" w:sz="4" w:space="0" w:color="auto"/>
            </w:tcBorders>
            <w:shd w:val="clear" w:color="000000" w:fill="FFFFFF"/>
            <w:noWrap/>
            <w:vAlign w:val="bottom"/>
            <w:hideMark/>
          </w:tcPr>
          <w:p w14:paraId="2B2EF50E"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2008</w:t>
            </w:r>
          </w:p>
        </w:tc>
        <w:tc>
          <w:tcPr>
            <w:tcW w:w="773" w:type="dxa"/>
            <w:tcBorders>
              <w:top w:val="nil"/>
              <w:left w:val="nil"/>
              <w:bottom w:val="single" w:sz="4" w:space="0" w:color="auto"/>
              <w:right w:val="single" w:sz="4" w:space="0" w:color="auto"/>
            </w:tcBorders>
            <w:shd w:val="clear" w:color="000000" w:fill="FFFFFF"/>
            <w:noWrap/>
            <w:vAlign w:val="bottom"/>
            <w:hideMark/>
          </w:tcPr>
          <w:p w14:paraId="437BE696"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14,0%</w:t>
            </w:r>
          </w:p>
        </w:tc>
        <w:tc>
          <w:tcPr>
            <w:tcW w:w="1366" w:type="dxa"/>
            <w:tcBorders>
              <w:top w:val="nil"/>
              <w:left w:val="nil"/>
              <w:bottom w:val="single" w:sz="4" w:space="0" w:color="auto"/>
              <w:right w:val="single" w:sz="4" w:space="0" w:color="auto"/>
            </w:tcBorders>
            <w:shd w:val="clear" w:color="000000" w:fill="FFFFFF"/>
            <w:noWrap/>
            <w:vAlign w:val="bottom"/>
            <w:hideMark/>
          </w:tcPr>
          <w:p w14:paraId="0349F3CB"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11,2%</w:t>
            </w:r>
          </w:p>
        </w:tc>
        <w:tc>
          <w:tcPr>
            <w:tcW w:w="1203" w:type="dxa"/>
            <w:tcBorders>
              <w:top w:val="nil"/>
              <w:left w:val="nil"/>
              <w:bottom w:val="single" w:sz="4" w:space="0" w:color="auto"/>
              <w:right w:val="single" w:sz="4" w:space="0" w:color="auto"/>
            </w:tcBorders>
            <w:shd w:val="clear" w:color="000000" w:fill="FFFFFF"/>
            <w:noWrap/>
            <w:vAlign w:val="bottom"/>
            <w:hideMark/>
          </w:tcPr>
          <w:p w14:paraId="471A6A6B"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7,3%</w:t>
            </w:r>
          </w:p>
        </w:tc>
        <w:tc>
          <w:tcPr>
            <w:tcW w:w="918" w:type="dxa"/>
            <w:tcBorders>
              <w:top w:val="nil"/>
              <w:left w:val="nil"/>
              <w:bottom w:val="single" w:sz="4" w:space="0" w:color="auto"/>
              <w:right w:val="single" w:sz="4" w:space="0" w:color="auto"/>
            </w:tcBorders>
            <w:shd w:val="clear" w:color="000000" w:fill="FFFFFF"/>
            <w:noWrap/>
            <w:vAlign w:val="bottom"/>
            <w:hideMark/>
          </w:tcPr>
          <w:p w14:paraId="5B716323"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8,4%</w:t>
            </w:r>
          </w:p>
        </w:tc>
        <w:tc>
          <w:tcPr>
            <w:tcW w:w="1280" w:type="dxa"/>
            <w:tcBorders>
              <w:top w:val="nil"/>
              <w:left w:val="nil"/>
              <w:bottom w:val="single" w:sz="4" w:space="0" w:color="auto"/>
              <w:right w:val="single" w:sz="4" w:space="0" w:color="auto"/>
            </w:tcBorders>
            <w:shd w:val="clear" w:color="000000" w:fill="FFFFFF"/>
            <w:noWrap/>
            <w:vAlign w:val="bottom"/>
            <w:hideMark/>
          </w:tcPr>
          <w:p w14:paraId="27F52582"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1,3%</w:t>
            </w:r>
          </w:p>
        </w:tc>
        <w:tc>
          <w:tcPr>
            <w:tcW w:w="1034" w:type="dxa"/>
            <w:tcBorders>
              <w:top w:val="nil"/>
              <w:left w:val="nil"/>
              <w:bottom w:val="single" w:sz="4" w:space="0" w:color="auto"/>
              <w:right w:val="single" w:sz="4" w:space="0" w:color="auto"/>
            </w:tcBorders>
            <w:shd w:val="clear" w:color="000000" w:fill="FFFFFF"/>
            <w:noWrap/>
            <w:vAlign w:val="bottom"/>
            <w:hideMark/>
          </w:tcPr>
          <w:p w14:paraId="02ACC65F"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4,8%</w:t>
            </w:r>
          </w:p>
        </w:tc>
        <w:tc>
          <w:tcPr>
            <w:tcW w:w="1092" w:type="dxa"/>
            <w:tcBorders>
              <w:top w:val="nil"/>
              <w:left w:val="nil"/>
              <w:bottom w:val="single" w:sz="4" w:space="0" w:color="auto"/>
              <w:right w:val="single" w:sz="4" w:space="0" w:color="auto"/>
            </w:tcBorders>
            <w:shd w:val="clear" w:color="000000" w:fill="FFFFFF"/>
            <w:noWrap/>
            <w:vAlign w:val="bottom"/>
            <w:hideMark/>
          </w:tcPr>
          <w:p w14:paraId="3942CB55"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6,1%</w:t>
            </w:r>
          </w:p>
        </w:tc>
        <w:tc>
          <w:tcPr>
            <w:tcW w:w="709" w:type="dxa"/>
            <w:tcBorders>
              <w:top w:val="nil"/>
              <w:left w:val="nil"/>
              <w:bottom w:val="single" w:sz="4" w:space="0" w:color="auto"/>
              <w:right w:val="single" w:sz="8" w:space="0" w:color="auto"/>
            </w:tcBorders>
            <w:shd w:val="clear" w:color="000000" w:fill="FFFFFF"/>
            <w:noWrap/>
            <w:vAlign w:val="bottom"/>
            <w:hideMark/>
          </w:tcPr>
          <w:p w14:paraId="527F44C9"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3,25%</w:t>
            </w:r>
          </w:p>
        </w:tc>
      </w:tr>
      <w:tr w:rsidR="004469B7" w:rsidRPr="004469B7" w14:paraId="0B869DBA" w14:textId="77777777" w:rsidTr="004469B7">
        <w:trPr>
          <w:trHeight w:val="300"/>
        </w:trPr>
        <w:tc>
          <w:tcPr>
            <w:tcW w:w="546" w:type="dxa"/>
            <w:tcBorders>
              <w:top w:val="nil"/>
              <w:left w:val="single" w:sz="8" w:space="0" w:color="auto"/>
              <w:bottom w:val="single" w:sz="4" w:space="0" w:color="auto"/>
              <w:right w:val="single" w:sz="4" w:space="0" w:color="auto"/>
            </w:tcBorders>
            <w:shd w:val="clear" w:color="000000" w:fill="FFFFFF"/>
            <w:noWrap/>
            <w:vAlign w:val="bottom"/>
            <w:hideMark/>
          </w:tcPr>
          <w:p w14:paraId="53A8AF59"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2009</w:t>
            </w:r>
          </w:p>
        </w:tc>
        <w:tc>
          <w:tcPr>
            <w:tcW w:w="773" w:type="dxa"/>
            <w:tcBorders>
              <w:top w:val="nil"/>
              <w:left w:val="nil"/>
              <w:bottom w:val="single" w:sz="4" w:space="0" w:color="auto"/>
              <w:right w:val="single" w:sz="4" w:space="0" w:color="auto"/>
            </w:tcBorders>
            <w:shd w:val="clear" w:color="000000" w:fill="FFFFFF"/>
            <w:noWrap/>
            <w:vAlign w:val="bottom"/>
            <w:hideMark/>
          </w:tcPr>
          <w:p w14:paraId="095BD6F5"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14,0%</w:t>
            </w:r>
          </w:p>
        </w:tc>
        <w:tc>
          <w:tcPr>
            <w:tcW w:w="1366" w:type="dxa"/>
            <w:tcBorders>
              <w:top w:val="nil"/>
              <w:left w:val="nil"/>
              <w:bottom w:val="single" w:sz="4" w:space="0" w:color="auto"/>
              <w:right w:val="single" w:sz="4" w:space="0" w:color="auto"/>
            </w:tcBorders>
            <w:shd w:val="clear" w:color="000000" w:fill="FFFFFF"/>
            <w:noWrap/>
            <w:vAlign w:val="bottom"/>
            <w:hideMark/>
          </w:tcPr>
          <w:p w14:paraId="23521E84"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10,8%</w:t>
            </w:r>
          </w:p>
        </w:tc>
        <w:tc>
          <w:tcPr>
            <w:tcW w:w="1203" w:type="dxa"/>
            <w:tcBorders>
              <w:top w:val="nil"/>
              <w:left w:val="nil"/>
              <w:bottom w:val="single" w:sz="4" w:space="0" w:color="auto"/>
              <w:right w:val="single" w:sz="4" w:space="0" w:color="auto"/>
            </w:tcBorders>
            <w:shd w:val="clear" w:color="000000" w:fill="FFFFFF"/>
            <w:noWrap/>
            <w:vAlign w:val="bottom"/>
            <w:hideMark/>
          </w:tcPr>
          <w:p w14:paraId="2069798F"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7,0%</w:t>
            </w:r>
          </w:p>
        </w:tc>
        <w:tc>
          <w:tcPr>
            <w:tcW w:w="918" w:type="dxa"/>
            <w:tcBorders>
              <w:top w:val="nil"/>
              <w:left w:val="nil"/>
              <w:bottom w:val="single" w:sz="4" w:space="0" w:color="auto"/>
              <w:right w:val="single" w:sz="4" w:space="0" w:color="auto"/>
            </w:tcBorders>
            <w:shd w:val="clear" w:color="000000" w:fill="FFFFFF"/>
            <w:noWrap/>
            <w:vAlign w:val="bottom"/>
            <w:hideMark/>
          </w:tcPr>
          <w:p w14:paraId="096920FE"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8,0%</w:t>
            </w:r>
          </w:p>
        </w:tc>
        <w:tc>
          <w:tcPr>
            <w:tcW w:w="1280" w:type="dxa"/>
            <w:tcBorders>
              <w:top w:val="nil"/>
              <w:left w:val="nil"/>
              <w:bottom w:val="single" w:sz="4" w:space="0" w:color="auto"/>
              <w:right w:val="single" w:sz="4" w:space="0" w:color="auto"/>
            </w:tcBorders>
            <w:shd w:val="clear" w:color="000000" w:fill="FFFFFF"/>
            <w:noWrap/>
            <w:vAlign w:val="bottom"/>
            <w:hideMark/>
          </w:tcPr>
          <w:p w14:paraId="21237309"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1,3%</w:t>
            </w:r>
          </w:p>
        </w:tc>
        <w:tc>
          <w:tcPr>
            <w:tcW w:w="1034" w:type="dxa"/>
            <w:tcBorders>
              <w:top w:val="nil"/>
              <w:left w:val="nil"/>
              <w:bottom w:val="single" w:sz="4" w:space="0" w:color="auto"/>
              <w:right w:val="single" w:sz="4" w:space="0" w:color="auto"/>
            </w:tcBorders>
            <w:shd w:val="clear" w:color="000000" w:fill="FFFFFF"/>
            <w:noWrap/>
            <w:vAlign w:val="bottom"/>
            <w:hideMark/>
          </w:tcPr>
          <w:p w14:paraId="6800F40A"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4,3%</w:t>
            </w:r>
          </w:p>
        </w:tc>
        <w:tc>
          <w:tcPr>
            <w:tcW w:w="1092" w:type="dxa"/>
            <w:tcBorders>
              <w:top w:val="nil"/>
              <w:left w:val="nil"/>
              <w:bottom w:val="single" w:sz="4" w:space="0" w:color="auto"/>
              <w:right w:val="single" w:sz="4" w:space="0" w:color="auto"/>
            </w:tcBorders>
            <w:shd w:val="clear" w:color="000000" w:fill="FFFFFF"/>
            <w:noWrap/>
            <w:vAlign w:val="bottom"/>
            <w:hideMark/>
          </w:tcPr>
          <w:p w14:paraId="079F0053"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5,7%</w:t>
            </w:r>
          </w:p>
        </w:tc>
        <w:tc>
          <w:tcPr>
            <w:tcW w:w="709" w:type="dxa"/>
            <w:tcBorders>
              <w:top w:val="nil"/>
              <w:left w:val="nil"/>
              <w:bottom w:val="single" w:sz="4" w:space="0" w:color="auto"/>
              <w:right w:val="single" w:sz="8" w:space="0" w:color="auto"/>
            </w:tcBorders>
            <w:shd w:val="clear" w:color="000000" w:fill="FFFFFF"/>
            <w:noWrap/>
            <w:vAlign w:val="bottom"/>
            <w:hideMark/>
          </w:tcPr>
          <w:p w14:paraId="79DC17B6"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3,31%</w:t>
            </w:r>
          </w:p>
        </w:tc>
      </w:tr>
      <w:tr w:rsidR="004469B7" w:rsidRPr="004469B7" w14:paraId="19883F06" w14:textId="77777777" w:rsidTr="004469B7">
        <w:trPr>
          <w:trHeight w:val="300"/>
        </w:trPr>
        <w:tc>
          <w:tcPr>
            <w:tcW w:w="546" w:type="dxa"/>
            <w:tcBorders>
              <w:top w:val="nil"/>
              <w:left w:val="single" w:sz="8" w:space="0" w:color="auto"/>
              <w:bottom w:val="single" w:sz="4" w:space="0" w:color="auto"/>
              <w:right w:val="single" w:sz="4" w:space="0" w:color="auto"/>
            </w:tcBorders>
            <w:shd w:val="clear" w:color="000000" w:fill="FFFFFF"/>
            <w:noWrap/>
            <w:vAlign w:val="bottom"/>
            <w:hideMark/>
          </w:tcPr>
          <w:p w14:paraId="465D9EBE"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2010</w:t>
            </w:r>
          </w:p>
        </w:tc>
        <w:tc>
          <w:tcPr>
            <w:tcW w:w="773" w:type="dxa"/>
            <w:tcBorders>
              <w:top w:val="nil"/>
              <w:left w:val="nil"/>
              <w:bottom w:val="single" w:sz="4" w:space="0" w:color="auto"/>
              <w:right w:val="single" w:sz="4" w:space="0" w:color="auto"/>
            </w:tcBorders>
            <w:shd w:val="clear" w:color="000000" w:fill="FFFFFF"/>
            <w:noWrap/>
            <w:vAlign w:val="bottom"/>
            <w:hideMark/>
          </w:tcPr>
          <w:p w14:paraId="109FC561"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13,5%</w:t>
            </w:r>
          </w:p>
        </w:tc>
        <w:tc>
          <w:tcPr>
            <w:tcW w:w="1366" w:type="dxa"/>
            <w:tcBorders>
              <w:top w:val="nil"/>
              <w:left w:val="nil"/>
              <w:bottom w:val="single" w:sz="4" w:space="0" w:color="auto"/>
              <w:right w:val="single" w:sz="4" w:space="0" w:color="auto"/>
            </w:tcBorders>
            <w:shd w:val="clear" w:color="000000" w:fill="FFFFFF"/>
            <w:noWrap/>
            <w:vAlign w:val="bottom"/>
            <w:hideMark/>
          </w:tcPr>
          <w:p w14:paraId="5C63D25C"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10,5%</w:t>
            </w:r>
          </w:p>
        </w:tc>
        <w:tc>
          <w:tcPr>
            <w:tcW w:w="1203" w:type="dxa"/>
            <w:tcBorders>
              <w:top w:val="nil"/>
              <w:left w:val="nil"/>
              <w:bottom w:val="single" w:sz="4" w:space="0" w:color="auto"/>
              <w:right w:val="single" w:sz="4" w:space="0" w:color="auto"/>
            </w:tcBorders>
            <w:shd w:val="clear" w:color="000000" w:fill="FFFFFF"/>
            <w:noWrap/>
            <w:vAlign w:val="bottom"/>
            <w:hideMark/>
          </w:tcPr>
          <w:p w14:paraId="7C89EF21"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6,8%</w:t>
            </w:r>
          </w:p>
        </w:tc>
        <w:tc>
          <w:tcPr>
            <w:tcW w:w="918" w:type="dxa"/>
            <w:tcBorders>
              <w:top w:val="nil"/>
              <w:left w:val="nil"/>
              <w:bottom w:val="single" w:sz="4" w:space="0" w:color="auto"/>
              <w:right w:val="single" w:sz="4" w:space="0" w:color="auto"/>
            </w:tcBorders>
            <w:shd w:val="clear" w:color="000000" w:fill="FFFFFF"/>
            <w:noWrap/>
            <w:vAlign w:val="bottom"/>
            <w:hideMark/>
          </w:tcPr>
          <w:p w14:paraId="52A7D1C7"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8,8%</w:t>
            </w:r>
          </w:p>
        </w:tc>
        <w:tc>
          <w:tcPr>
            <w:tcW w:w="1280" w:type="dxa"/>
            <w:tcBorders>
              <w:top w:val="nil"/>
              <w:left w:val="nil"/>
              <w:bottom w:val="single" w:sz="4" w:space="0" w:color="auto"/>
              <w:right w:val="single" w:sz="4" w:space="0" w:color="auto"/>
            </w:tcBorders>
            <w:shd w:val="clear" w:color="000000" w:fill="FFFFFF"/>
            <w:noWrap/>
            <w:vAlign w:val="bottom"/>
            <w:hideMark/>
          </w:tcPr>
          <w:p w14:paraId="0B27A4D3"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1,3%</w:t>
            </w:r>
          </w:p>
        </w:tc>
        <w:tc>
          <w:tcPr>
            <w:tcW w:w="1034" w:type="dxa"/>
            <w:tcBorders>
              <w:top w:val="nil"/>
              <w:left w:val="nil"/>
              <w:bottom w:val="single" w:sz="4" w:space="0" w:color="auto"/>
              <w:right w:val="single" w:sz="4" w:space="0" w:color="auto"/>
            </w:tcBorders>
            <w:shd w:val="clear" w:color="000000" w:fill="FFFFFF"/>
            <w:noWrap/>
            <w:vAlign w:val="bottom"/>
            <w:hideMark/>
          </w:tcPr>
          <w:p w14:paraId="0AEAEADA"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4,4%</w:t>
            </w:r>
          </w:p>
        </w:tc>
        <w:tc>
          <w:tcPr>
            <w:tcW w:w="1092" w:type="dxa"/>
            <w:tcBorders>
              <w:top w:val="nil"/>
              <w:left w:val="nil"/>
              <w:bottom w:val="single" w:sz="4" w:space="0" w:color="auto"/>
              <w:right w:val="single" w:sz="4" w:space="0" w:color="auto"/>
            </w:tcBorders>
            <w:shd w:val="clear" w:color="000000" w:fill="FFFFFF"/>
            <w:noWrap/>
            <w:vAlign w:val="bottom"/>
            <w:hideMark/>
          </w:tcPr>
          <w:p w14:paraId="71406983"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5,8%</w:t>
            </w:r>
          </w:p>
        </w:tc>
        <w:tc>
          <w:tcPr>
            <w:tcW w:w="709" w:type="dxa"/>
            <w:tcBorders>
              <w:top w:val="nil"/>
              <w:left w:val="nil"/>
              <w:bottom w:val="single" w:sz="4" w:space="0" w:color="auto"/>
              <w:right w:val="single" w:sz="8" w:space="0" w:color="auto"/>
            </w:tcBorders>
            <w:shd w:val="clear" w:color="000000" w:fill="FFFFFF"/>
            <w:noWrap/>
            <w:vAlign w:val="bottom"/>
            <w:hideMark/>
          </w:tcPr>
          <w:p w14:paraId="4F1CA8E5"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3,24%</w:t>
            </w:r>
          </w:p>
        </w:tc>
      </w:tr>
      <w:tr w:rsidR="004469B7" w:rsidRPr="004469B7" w14:paraId="2614C24E" w14:textId="77777777" w:rsidTr="004469B7">
        <w:trPr>
          <w:trHeight w:val="300"/>
        </w:trPr>
        <w:tc>
          <w:tcPr>
            <w:tcW w:w="546" w:type="dxa"/>
            <w:tcBorders>
              <w:top w:val="nil"/>
              <w:left w:val="single" w:sz="8" w:space="0" w:color="auto"/>
              <w:bottom w:val="single" w:sz="4" w:space="0" w:color="auto"/>
              <w:right w:val="single" w:sz="4" w:space="0" w:color="auto"/>
            </w:tcBorders>
            <w:shd w:val="clear" w:color="000000" w:fill="FFFFFF"/>
            <w:noWrap/>
            <w:vAlign w:val="bottom"/>
            <w:hideMark/>
          </w:tcPr>
          <w:p w14:paraId="1AE676E3"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2011</w:t>
            </w:r>
          </w:p>
        </w:tc>
        <w:tc>
          <w:tcPr>
            <w:tcW w:w="773" w:type="dxa"/>
            <w:tcBorders>
              <w:top w:val="nil"/>
              <w:left w:val="nil"/>
              <w:bottom w:val="single" w:sz="4" w:space="0" w:color="auto"/>
              <w:right w:val="single" w:sz="4" w:space="0" w:color="auto"/>
            </w:tcBorders>
            <w:shd w:val="clear" w:color="000000" w:fill="FFFFFF"/>
            <w:noWrap/>
            <w:vAlign w:val="bottom"/>
            <w:hideMark/>
          </w:tcPr>
          <w:p w14:paraId="166BB4AA"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12,1%</w:t>
            </w:r>
          </w:p>
        </w:tc>
        <w:tc>
          <w:tcPr>
            <w:tcW w:w="1366" w:type="dxa"/>
            <w:tcBorders>
              <w:top w:val="nil"/>
              <w:left w:val="nil"/>
              <w:bottom w:val="single" w:sz="4" w:space="0" w:color="auto"/>
              <w:right w:val="single" w:sz="4" w:space="0" w:color="auto"/>
            </w:tcBorders>
            <w:shd w:val="clear" w:color="000000" w:fill="FFFFFF"/>
            <w:noWrap/>
            <w:vAlign w:val="bottom"/>
            <w:hideMark/>
          </w:tcPr>
          <w:p w14:paraId="3CFE9B33"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10,7%</w:t>
            </w:r>
          </w:p>
        </w:tc>
        <w:tc>
          <w:tcPr>
            <w:tcW w:w="1203" w:type="dxa"/>
            <w:tcBorders>
              <w:top w:val="nil"/>
              <w:left w:val="nil"/>
              <w:bottom w:val="single" w:sz="4" w:space="0" w:color="auto"/>
              <w:right w:val="single" w:sz="4" w:space="0" w:color="auto"/>
            </w:tcBorders>
            <w:shd w:val="clear" w:color="000000" w:fill="FFFFFF"/>
            <w:noWrap/>
            <w:vAlign w:val="bottom"/>
            <w:hideMark/>
          </w:tcPr>
          <w:p w14:paraId="0E94CB46"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6,8%</w:t>
            </w:r>
          </w:p>
        </w:tc>
        <w:tc>
          <w:tcPr>
            <w:tcW w:w="918" w:type="dxa"/>
            <w:tcBorders>
              <w:top w:val="nil"/>
              <w:left w:val="nil"/>
              <w:bottom w:val="single" w:sz="4" w:space="0" w:color="auto"/>
              <w:right w:val="single" w:sz="4" w:space="0" w:color="auto"/>
            </w:tcBorders>
            <w:shd w:val="clear" w:color="000000" w:fill="FFFFFF"/>
            <w:noWrap/>
            <w:vAlign w:val="bottom"/>
            <w:hideMark/>
          </w:tcPr>
          <w:p w14:paraId="7D46E470"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9,3%</w:t>
            </w:r>
          </w:p>
        </w:tc>
        <w:tc>
          <w:tcPr>
            <w:tcW w:w="1280" w:type="dxa"/>
            <w:tcBorders>
              <w:top w:val="nil"/>
              <w:left w:val="nil"/>
              <w:bottom w:val="single" w:sz="4" w:space="0" w:color="auto"/>
              <w:right w:val="single" w:sz="4" w:space="0" w:color="auto"/>
            </w:tcBorders>
            <w:shd w:val="clear" w:color="000000" w:fill="FFFFFF"/>
            <w:noWrap/>
            <w:vAlign w:val="bottom"/>
            <w:hideMark/>
          </w:tcPr>
          <w:p w14:paraId="23B69CBE"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1,4%</w:t>
            </w:r>
          </w:p>
        </w:tc>
        <w:tc>
          <w:tcPr>
            <w:tcW w:w="1034" w:type="dxa"/>
            <w:tcBorders>
              <w:top w:val="nil"/>
              <w:left w:val="nil"/>
              <w:bottom w:val="single" w:sz="4" w:space="0" w:color="auto"/>
              <w:right w:val="single" w:sz="4" w:space="0" w:color="auto"/>
            </w:tcBorders>
            <w:shd w:val="clear" w:color="000000" w:fill="FFFFFF"/>
            <w:noWrap/>
            <w:vAlign w:val="bottom"/>
            <w:hideMark/>
          </w:tcPr>
          <w:p w14:paraId="2FA7E8D6"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4,5%</w:t>
            </w:r>
          </w:p>
        </w:tc>
        <w:tc>
          <w:tcPr>
            <w:tcW w:w="1092" w:type="dxa"/>
            <w:tcBorders>
              <w:top w:val="nil"/>
              <w:left w:val="nil"/>
              <w:bottom w:val="single" w:sz="4" w:space="0" w:color="auto"/>
              <w:right w:val="single" w:sz="4" w:space="0" w:color="auto"/>
            </w:tcBorders>
            <w:shd w:val="clear" w:color="000000" w:fill="FFFFFF"/>
            <w:noWrap/>
            <w:vAlign w:val="bottom"/>
            <w:hideMark/>
          </w:tcPr>
          <w:p w14:paraId="579C1BFA"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5,8%</w:t>
            </w:r>
          </w:p>
        </w:tc>
        <w:tc>
          <w:tcPr>
            <w:tcW w:w="709" w:type="dxa"/>
            <w:tcBorders>
              <w:top w:val="nil"/>
              <w:left w:val="nil"/>
              <w:bottom w:val="single" w:sz="4" w:space="0" w:color="auto"/>
              <w:right w:val="single" w:sz="8" w:space="0" w:color="auto"/>
            </w:tcBorders>
            <w:shd w:val="clear" w:color="000000" w:fill="FFFFFF"/>
            <w:noWrap/>
            <w:vAlign w:val="bottom"/>
            <w:hideMark/>
          </w:tcPr>
          <w:p w14:paraId="1AEA358A"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3,16%</w:t>
            </w:r>
          </w:p>
        </w:tc>
      </w:tr>
      <w:tr w:rsidR="004469B7" w:rsidRPr="004469B7" w14:paraId="78B8A84E" w14:textId="77777777" w:rsidTr="004469B7">
        <w:trPr>
          <w:trHeight w:val="300"/>
        </w:trPr>
        <w:tc>
          <w:tcPr>
            <w:tcW w:w="546" w:type="dxa"/>
            <w:tcBorders>
              <w:top w:val="nil"/>
              <w:left w:val="single" w:sz="8" w:space="0" w:color="auto"/>
              <w:bottom w:val="single" w:sz="4" w:space="0" w:color="auto"/>
              <w:right w:val="single" w:sz="4" w:space="0" w:color="auto"/>
            </w:tcBorders>
            <w:shd w:val="clear" w:color="000000" w:fill="FFFFFF"/>
            <w:noWrap/>
            <w:vAlign w:val="bottom"/>
            <w:hideMark/>
          </w:tcPr>
          <w:p w14:paraId="056EF5A5"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2012</w:t>
            </w:r>
          </w:p>
        </w:tc>
        <w:tc>
          <w:tcPr>
            <w:tcW w:w="773" w:type="dxa"/>
            <w:tcBorders>
              <w:top w:val="nil"/>
              <w:left w:val="nil"/>
              <w:bottom w:val="single" w:sz="4" w:space="0" w:color="auto"/>
              <w:right w:val="single" w:sz="4" w:space="0" w:color="auto"/>
            </w:tcBorders>
            <w:shd w:val="clear" w:color="000000" w:fill="FFFFFF"/>
            <w:noWrap/>
            <w:vAlign w:val="bottom"/>
            <w:hideMark/>
          </w:tcPr>
          <w:p w14:paraId="0CD25D1D"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11,9%</w:t>
            </w:r>
          </w:p>
        </w:tc>
        <w:tc>
          <w:tcPr>
            <w:tcW w:w="1366" w:type="dxa"/>
            <w:tcBorders>
              <w:top w:val="nil"/>
              <w:left w:val="nil"/>
              <w:bottom w:val="single" w:sz="4" w:space="0" w:color="auto"/>
              <w:right w:val="single" w:sz="4" w:space="0" w:color="auto"/>
            </w:tcBorders>
            <w:shd w:val="clear" w:color="000000" w:fill="FFFFFF"/>
            <w:noWrap/>
            <w:vAlign w:val="bottom"/>
            <w:hideMark/>
          </w:tcPr>
          <w:p w14:paraId="7D4ACE6A"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10,5%</w:t>
            </w:r>
          </w:p>
        </w:tc>
        <w:tc>
          <w:tcPr>
            <w:tcW w:w="1203" w:type="dxa"/>
            <w:tcBorders>
              <w:top w:val="nil"/>
              <w:left w:val="nil"/>
              <w:bottom w:val="single" w:sz="4" w:space="0" w:color="auto"/>
              <w:right w:val="single" w:sz="4" w:space="0" w:color="auto"/>
            </w:tcBorders>
            <w:shd w:val="clear" w:color="000000" w:fill="FFFFFF"/>
            <w:noWrap/>
            <w:vAlign w:val="bottom"/>
            <w:hideMark/>
          </w:tcPr>
          <w:p w14:paraId="39DDB125"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6,9%</w:t>
            </w:r>
          </w:p>
        </w:tc>
        <w:tc>
          <w:tcPr>
            <w:tcW w:w="918" w:type="dxa"/>
            <w:tcBorders>
              <w:top w:val="nil"/>
              <w:left w:val="nil"/>
              <w:bottom w:val="single" w:sz="4" w:space="0" w:color="auto"/>
              <w:right w:val="single" w:sz="4" w:space="0" w:color="auto"/>
            </w:tcBorders>
            <w:shd w:val="clear" w:color="000000" w:fill="FFFFFF"/>
            <w:noWrap/>
            <w:vAlign w:val="bottom"/>
            <w:hideMark/>
          </w:tcPr>
          <w:p w14:paraId="08E19D01"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9,5%</w:t>
            </w:r>
          </w:p>
        </w:tc>
        <w:tc>
          <w:tcPr>
            <w:tcW w:w="1280" w:type="dxa"/>
            <w:tcBorders>
              <w:top w:val="nil"/>
              <w:left w:val="nil"/>
              <w:bottom w:val="single" w:sz="4" w:space="0" w:color="auto"/>
              <w:right w:val="single" w:sz="4" w:space="0" w:color="auto"/>
            </w:tcBorders>
            <w:shd w:val="clear" w:color="000000" w:fill="FFFFFF"/>
            <w:noWrap/>
            <w:vAlign w:val="bottom"/>
            <w:hideMark/>
          </w:tcPr>
          <w:p w14:paraId="5250EA8E"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1,4%</w:t>
            </w:r>
          </w:p>
        </w:tc>
        <w:tc>
          <w:tcPr>
            <w:tcW w:w="1034" w:type="dxa"/>
            <w:tcBorders>
              <w:top w:val="nil"/>
              <w:left w:val="nil"/>
              <w:bottom w:val="single" w:sz="4" w:space="0" w:color="auto"/>
              <w:right w:val="single" w:sz="4" w:space="0" w:color="auto"/>
            </w:tcBorders>
            <w:shd w:val="clear" w:color="000000" w:fill="FFFFFF"/>
            <w:noWrap/>
            <w:vAlign w:val="bottom"/>
            <w:hideMark/>
          </w:tcPr>
          <w:p w14:paraId="05433676"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4,7%</w:t>
            </w:r>
          </w:p>
        </w:tc>
        <w:tc>
          <w:tcPr>
            <w:tcW w:w="1092" w:type="dxa"/>
            <w:tcBorders>
              <w:top w:val="nil"/>
              <w:left w:val="nil"/>
              <w:bottom w:val="single" w:sz="4" w:space="0" w:color="auto"/>
              <w:right w:val="single" w:sz="4" w:space="0" w:color="auto"/>
            </w:tcBorders>
            <w:shd w:val="clear" w:color="000000" w:fill="FFFFFF"/>
            <w:noWrap/>
            <w:vAlign w:val="bottom"/>
            <w:hideMark/>
          </w:tcPr>
          <w:p w14:paraId="7E8CFD6B"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6,1%</w:t>
            </w:r>
          </w:p>
        </w:tc>
        <w:tc>
          <w:tcPr>
            <w:tcW w:w="709" w:type="dxa"/>
            <w:tcBorders>
              <w:top w:val="nil"/>
              <w:left w:val="nil"/>
              <w:bottom w:val="single" w:sz="4" w:space="0" w:color="auto"/>
              <w:right w:val="single" w:sz="8" w:space="0" w:color="auto"/>
            </w:tcBorders>
            <w:shd w:val="clear" w:color="000000" w:fill="FFFFFF"/>
            <w:noWrap/>
            <w:vAlign w:val="bottom"/>
            <w:hideMark/>
          </w:tcPr>
          <w:p w14:paraId="01E2E6B0"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3,24%</w:t>
            </w:r>
          </w:p>
        </w:tc>
      </w:tr>
      <w:tr w:rsidR="004469B7" w:rsidRPr="004469B7" w14:paraId="28300BFC" w14:textId="77777777" w:rsidTr="004469B7">
        <w:trPr>
          <w:trHeight w:val="300"/>
        </w:trPr>
        <w:tc>
          <w:tcPr>
            <w:tcW w:w="546" w:type="dxa"/>
            <w:tcBorders>
              <w:top w:val="nil"/>
              <w:left w:val="single" w:sz="8" w:space="0" w:color="auto"/>
              <w:bottom w:val="single" w:sz="4" w:space="0" w:color="auto"/>
              <w:right w:val="single" w:sz="4" w:space="0" w:color="auto"/>
            </w:tcBorders>
            <w:shd w:val="clear" w:color="000000" w:fill="FFFFFF"/>
            <w:noWrap/>
            <w:vAlign w:val="bottom"/>
            <w:hideMark/>
          </w:tcPr>
          <w:p w14:paraId="5F1DA548"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2013</w:t>
            </w:r>
          </w:p>
        </w:tc>
        <w:tc>
          <w:tcPr>
            <w:tcW w:w="773" w:type="dxa"/>
            <w:tcBorders>
              <w:top w:val="nil"/>
              <w:left w:val="nil"/>
              <w:bottom w:val="single" w:sz="4" w:space="0" w:color="auto"/>
              <w:right w:val="single" w:sz="4" w:space="0" w:color="auto"/>
            </w:tcBorders>
            <w:shd w:val="clear" w:color="000000" w:fill="FFFFFF"/>
            <w:noWrap/>
            <w:vAlign w:val="bottom"/>
            <w:hideMark/>
          </w:tcPr>
          <w:p w14:paraId="0F5AB01F"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12,0%</w:t>
            </w:r>
          </w:p>
        </w:tc>
        <w:tc>
          <w:tcPr>
            <w:tcW w:w="1366" w:type="dxa"/>
            <w:tcBorders>
              <w:top w:val="nil"/>
              <w:left w:val="nil"/>
              <w:bottom w:val="single" w:sz="4" w:space="0" w:color="auto"/>
              <w:right w:val="single" w:sz="4" w:space="0" w:color="auto"/>
            </w:tcBorders>
            <w:shd w:val="clear" w:color="000000" w:fill="FFFFFF"/>
            <w:noWrap/>
            <w:vAlign w:val="bottom"/>
            <w:hideMark/>
          </w:tcPr>
          <w:p w14:paraId="25235D7F"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10,2%</w:t>
            </w:r>
          </w:p>
        </w:tc>
        <w:tc>
          <w:tcPr>
            <w:tcW w:w="1203" w:type="dxa"/>
            <w:tcBorders>
              <w:top w:val="nil"/>
              <w:left w:val="nil"/>
              <w:bottom w:val="single" w:sz="4" w:space="0" w:color="auto"/>
              <w:right w:val="single" w:sz="4" w:space="0" w:color="auto"/>
            </w:tcBorders>
            <w:shd w:val="clear" w:color="000000" w:fill="FFFFFF"/>
            <w:noWrap/>
            <w:vAlign w:val="bottom"/>
            <w:hideMark/>
          </w:tcPr>
          <w:p w14:paraId="58C68882"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6,9%</w:t>
            </w:r>
          </w:p>
        </w:tc>
        <w:tc>
          <w:tcPr>
            <w:tcW w:w="918" w:type="dxa"/>
            <w:tcBorders>
              <w:top w:val="nil"/>
              <w:left w:val="nil"/>
              <w:bottom w:val="single" w:sz="4" w:space="0" w:color="auto"/>
              <w:right w:val="single" w:sz="4" w:space="0" w:color="auto"/>
            </w:tcBorders>
            <w:shd w:val="clear" w:color="000000" w:fill="FFFFFF"/>
            <w:noWrap/>
            <w:vAlign w:val="bottom"/>
            <w:hideMark/>
          </w:tcPr>
          <w:p w14:paraId="536FC5FB"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9,7%</w:t>
            </w:r>
          </w:p>
        </w:tc>
        <w:tc>
          <w:tcPr>
            <w:tcW w:w="1280" w:type="dxa"/>
            <w:tcBorders>
              <w:top w:val="nil"/>
              <w:left w:val="nil"/>
              <w:bottom w:val="single" w:sz="4" w:space="0" w:color="auto"/>
              <w:right w:val="single" w:sz="4" w:space="0" w:color="auto"/>
            </w:tcBorders>
            <w:shd w:val="clear" w:color="000000" w:fill="FFFFFF"/>
            <w:noWrap/>
            <w:vAlign w:val="bottom"/>
            <w:hideMark/>
          </w:tcPr>
          <w:p w14:paraId="020B1776"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1,4%</w:t>
            </w:r>
          </w:p>
        </w:tc>
        <w:tc>
          <w:tcPr>
            <w:tcW w:w="1034" w:type="dxa"/>
            <w:tcBorders>
              <w:top w:val="nil"/>
              <w:left w:val="nil"/>
              <w:bottom w:val="single" w:sz="4" w:space="0" w:color="auto"/>
              <w:right w:val="single" w:sz="4" w:space="0" w:color="auto"/>
            </w:tcBorders>
            <w:shd w:val="clear" w:color="000000" w:fill="FFFFFF"/>
            <w:noWrap/>
            <w:vAlign w:val="bottom"/>
            <w:hideMark/>
          </w:tcPr>
          <w:p w14:paraId="7E8FC535"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4,8%</w:t>
            </w:r>
          </w:p>
        </w:tc>
        <w:tc>
          <w:tcPr>
            <w:tcW w:w="1092" w:type="dxa"/>
            <w:tcBorders>
              <w:top w:val="nil"/>
              <w:left w:val="nil"/>
              <w:bottom w:val="single" w:sz="4" w:space="0" w:color="auto"/>
              <w:right w:val="single" w:sz="4" w:space="0" w:color="auto"/>
            </w:tcBorders>
            <w:shd w:val="clear" w:color="000000" w:fill="FFFFFF"/>
            <w:noWrap/>
            <w:vAlign w:val="bottom"/>
            <w:hideMark/>
          </w:tcPr>
          <w:p w14:paraId="6C8D7D10"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6,2%</w:t>
            </w:r>
          </w:p>
        </w:tc>
        <w:tc>
          <w:tcPr>
            <w:tcW w:w="709" w:type="dxa"/>
            <w:tcBorders>
              <w:top w:val="nil"/>
              <w:left w:val="nil"/>
              <w:bottom w:val="single" w:sz="4" w:space="0" w:color="auto"/>
              <w:right w:val="single" w:sz="8" w:space="0" w:color="auto"/>
            </w:tcBorders>
            <w:shd w:val="clear" w:color="000000" w:fill="FFFFFF"/>
            <w:noWrap/>
            <w:vAlign w:val="bottom"/>
            <w:hideMark/>
          </w:tcPr>
          <w:p w14:paraId="0B03B47E"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3,32%</w:t>
            </w:r>
          </w:p>
        </w:tc>
      </w:tr>
      <w:tr w:rsidR="004469B7" w:rsidRPr="004469B7" w14:paraId="680D319F" w14:textId="77777777" w:rsidTr="004469B7">
        <w:trPr>
          <w:trHeight w:val="300"/>
        </w:trPr>
        <w:tc>
          <w:tcPr>
            <w:tcW w:w="546" w:type="dxa"/>
            <w:tcBorders>
              <w:top w:val="nil"/>
              <w:left w:val="single" w:sz="8" w:space="0" w:color="auto"/>
              <w:bottom w:val="single" w:sz="4" w:space="0" w:color="auto"/>
              <w:right w:val="single" w:sz="4" w:space="0" w:color="auto"/>
            </w:tcBorders>
            <w:shd w:val="clear" w:color="000000" w:fill="FFFFFF"/>
            <w:noWrap/>
            <w:vAlign w:val="bottom"/>
            <w:hideMark/>
          </w:tcPr>
          <w:p w14:paraId="56487D97"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2014</w:t>
            </w:r>
          </w:p>
        </w:tc>
        <w:tc>
          <w:tcPr>
            <w:tcW w:w="773" w:type="dxa"/>
            <w:tcBorders>
              <w:top w:val="nil"/>
              <w:left w:val="nil"/>
              <w:bottom w:val="single" w:sz="4" w:space="0" w:color="auto"/>
              <w:right w:val="single" w:sz="4" w:space="0" w:color="auto"/>
            </w:tcBorders>
            <w:shd w:val="clear" w:color="000000" w:fill="FFFFFF"/>
            <w:noWrap/>
            <w:vAlign w:val="bottom"/>
            <w:hideMark/>
          </w:tcPr>
          <w:p w14:paraId="3606E8CA"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12,1%</w:t>
            </w:r>
          </w:p>
        </w:tc>
        <w:tc>
          <w:tcPr>
            <w:tcW w:w="1366" w:type="dxa"/>
            <w:tcBorders>
              <w:top w:val="nil"/>
              <w:left w:val="nil"/>
              <w:bottom w:val="single" w:sz="4" w:space="0" w:color="auto"/>
              <w:right w:val="single" w:sz="4" w:space="0" w:color="auto"/>
            </w:tcBorders>
            <w:shd w:val="clear" w:color="000000" w:fill="FFFFFF"/>
            <w:noWrap/>
            <w:vAlign w:val="bottom"/>
            <w:hideMark/>
          </w:tcPr>
          <w:p w14:paraId="421D6C8B"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10,0%</w:t>
            </w:r>
          </w:p>
        </w:tc>
        <w:tc>
          <w:tcPr>
            <w:tcW w:w="1203" w:type="dxa"/>
            <w:tcBorders>
              <w:top w:val="nil"/>
              <w:left w:val="nil"/>
              <w:bottom w:val="single" w:sz="4" w:space="0" w:color="auto"/>
              <w:right w:val="single" w:sz="4" w:space="0" w:color="auto"/>
            </w:tcBorders>
            <w:shd w:val="clear" w:color="000000" w:fill="FFFFFF"/>
            <w:noWrap/>
            <w:vAlign w:val="bottom"/>
            <w:hideMark/>
          </w:tcPr>
          <w:p w14:paraId="7DD9DE31"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7,0%</w:t>
            </w:r>
          </w:p>
        </w:tc>
        <w:tc>
          <w:tcPr>
            <w:tcW w:w="918" w:type="dxa"/>
            <w:tcBorders>
              <w:top w:val="nil"/>
              <w:left w:val="nil"/>
              <w:bottom w:val="single" w:sz="4" w:space="0" w:color="auto"/>
              <w:right w:val="single" w:sz="4" w:space="0" w:color="auto"/>
            </w:tcBorders>
            <w:shd w:val="clear" w:color="000000" w:fill="FFFFFF"/>
            <w:noWrap/>
            <w:vAlign w:val="bottom"/>
            <w:hideMark/>
          </w:tcPr>
          <w:p w14:paraId="2A2E0BDE"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9,5%</w:t>
            </w:r>
          </w:p>
        </w:tc>
        <w:tc>
          <w:tcPr>
            <w:tcW w:w="1280" w:type="dxa"/>
            <w:tcBorders>
              <w:top w:val="nil"/>
              <w:left w:val="nil"/>
              <w:bottom w:val="single" w:sz="4" w:space="0" w:color="auto"/>
              <w:right w:val="single" w:sz="4" w:space="0" w:color="auto"/>
            </w:tcBorders>
            <w:shd w:val="clear" w:color="000000" w:fill="FFFFFF"/>
            <w:noWrap/>
            <w:vAlign w:val="bottom"/>
            <w:hideMark/>
          </w:tcPr>
          <w:p w14:paraId="438A061C"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1,4%</w:t>
            </w:r>
          </w:p>
        </w:tc>
        <w:tc>
          <w:tcPr>
            <w:tcW w:w="1034" w:type="dxa"/>
            <w:tcBorders>
              <w:top w:val="nil"/>
              <w:left w:val="nil"/>
              <w:bottom w:val="single" w:sz="4" w:space="0" w:color="auto"/>
              <w:right w:val="single" w:sz="4" w:space="0" w:color="auto"/>
            </w:tcBorders>
            <w:shd w:val="clear" w:color="000000" w:fill="FFFFFF"/>
            <w:noWrap/>
            <w:vAlign w:val="bottom"/>
            <w:hideMark/>
          </w:tcPr>
          <w:p w14:paraId="21193E6F"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4,9%</w:t>
            </w:r>
          </w:p>
        </w:tc>
        <w:tc>
          <w:tcPr>
            <w:tcW w:w="1092" w:type="dxa"/>
            <w:tcBorders>
              <w:top w:val="nil"/>
              <w:left w:val="nil"/>
              <w:bottom w:val="single" w:sz="4" w:space="0" w:color="auto"/>
              <w:right w:val="single" w:sz="4" w:space="0" w:color="auto"/>
            </w:tcBorders>
            <w:shd w:val="clear" w:color="000000" w:fill="FFFFFF"/>
            <w:noWrap/>
            <w:vAlign w:val="bottom"/>
            <w:hideMark/>
          </w:tcPr>
          <w:p w14:paraId="607CEF21"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6,3%</w:t>
            </w:r>
          </w:p>
        </w:tc>
        <w:tc>
          <w:tcPr>
            <w:tcW w:w="709" w:type="dxa"/>
            <w:tcBorders>
              <w:top w:val="nil"/>
              <w:left w:val="nil"/>
              <w:bottom w:val="single" w:sz="4" w:space="0" w:color="auto"/>
              <w:right w:val="single" w:sz="8" w:space="0" w:color="auto"/>
            </w:tcBorders>
            <w:shd w:val="clear" w:color="000000" w:fill="FFFFFF"/>
            <w:noWrap/>
            <w:vAlign w:val="bottom"/>
            <w:hideMark/>
          </w:tcPr>
          <w:p w14:paraId="33EEB7C8"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3,40%</w:t>
            </w:r>
          </w:p>
        </w:tc>
      </w:tr>
      <w:tr w:rsidR="004469B7" w:rsidRPr="004469B7" w14:paraId="007261A5" w14:textId="77777777" w:rsidTr="004469B7">
        <w:trPr>
          <w:trHeight w:val="315"/>
        </w:trPr>
        <w:tc>
          <w:tcPr>
            <w:tcW w:w="546" w:type="dxa"/>
            <w:tcBorders>
              <w:top w:val="nil"/>
              <w:left w:val="single" w:sz="8" w:space="0" w:color="auto"/>
              <w:bottom w:val="single" w:sz="8" w:space="0" w:color="auto"/>
              <w:right w:val="single" w:sz="4" w:space="0" w:color="auto"/>
            </w:tcBorders>
            <w:shd w:val="clear" w:color="000000" w:fill="FFFFFF"/>
            <w:noWrap/>
            <w:vAlign w:val="bottom"/>
            <w:hideMark/>
          </w:tcPr>
          <w:p w14:paraId="5D3582EB" w14:textId="77777777" w:rsidR="004469B7" w:rsidRPr="004469B7" w:rsidRDefault="004469B7" w:rsidP="004469B7">
            <w:pPr>
              <w:spacing w:after="0" w:line="240" w:lineRule="auto"/>
              <w:rPr>
                <w:rFonts w:eastAsia="Times New Roman"/>
                <w:color w:val="000000"/>
                <w:sz w:val="20"/>
                <w:szCs w:val="20"/>
                <w:lang w:eastAsia="es-CL"/>
              </w:rPr>
            </w:pPr>
            <w:r w:rsidRPr="004469B7">
              <w:rPr>
                <w:rFonts w:eastAsia="Times New Roman"/>
                <w:color w:val="000000"/>
                <w:sz w:val="20"/>
                <w:szCs w:val="20"/>
                <w:lang w:eastAsia="es-CL"/>
              </w:rPr>
              <w:t>2015</w:t>
            </w:r>
          </w:p>
        </w:tc>
        <w:tc>
          <w:tcPr>
            <w:tcW w:w="773" w:type="dxa"/>
            <w:tcBorders>
              <w:top w:val="nil"/>
              <w:left w:val="nil"/>
              <w:bottom w:val="single" w:sz="8" w:space="0" w:color="auto"/>
              <w:right w:val="single" w:sz="4" w:space="0" w:color="auto"/>
            </w:tcBorders>
            <w:shd w:val="clear" w:color="000000" w:fill="FFFFFF"/>
            <w:noWrap/>
            <w:vAlign w:val="bottom"/>
            <w:hideMark/>
          </w:tcPr>
          <w:p w14:paraId="68EC4943"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11,9%</w:t>
            </w:r>
          </w:p>
        </w:tc>
        <w:tc>
          <w:tcPr>
            <w:tcW w:w="1366" w:type="dxa"/>
            <w:tcBorders>
              <w:top w:val="nil"/>
              <w:left w:val="nil"/>
              <w:bottom w:val="single" w:sz="8" w:space="0" w:color="auto"/>
              <w:right w:val="single" w:sz="4" w:space="0" w:color="auto"/>
            </w:tcBorders>
            <w:shd w:val="clear" w:color="000000" w:fill="FFFFFF"/>
            <w:noWrap/>
            <w:vAlign w:val="bottom"/>
            <w:hideMark/>
          </w:tcPr>
          <w:p w14:paraId="4BC36BA7"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10,0%</w:t>
            </w:r>
          </w:p>
        </w:tc>
        <w:tc>
          <w:tcPr>
            <w:tcW w:w="1203" w:type="dxa"/>
            <w:tcBorders>
              <w:top w:val="nil"/>
              <w:left w:val="nil"/>
              <w:bottom w:val="single" w:sz="8" w:space="0" w:color="auto"/>
              <w:right w:val="single" w:sz="4" w:space="0" w:color="auto"/>
            </w:tcBorders>
            <w:shd w:val="clear" w:color="000000" w:fill="FFFFFF"/>
            <w:noWrap/>
            <w:vAlign w:val="bottom"/>
            <w:hideMark/>
          </w:tcPr>
          <w:p w14:paraId="2305B71E"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7,0%</w:t>
            </w:r>
          </w:p>
        </w:tc>
        <w:tc>
          <w:tcPr>
            <w:tcW w:w="918" w:type="dxa"/>
            <w:tcBorders>
              <w:top w:val="nil"/>
              <w:left w:val="nil"/>
              <w:bottom w:val="single" w:sz="8" w:space="0" w:color="auto"/>
              <w:right w:val="single" w:sz="4" w:space="0" w:color="auto"/>
            </w:tcBorders>
            <w:shd w:val="clear" w:color="000000" w:fill="FFFFFF"/>
            <w:noWrap/>
            <w:vAlign w:val="bottom"/>
            <w:hideMark/>
          </w:tcPr>
          <w:p w14:paraId="2D4EBE62"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9,4%</w:t>
            </w:r>
          </w:p>
        </w:tc>
        <w:tc>
          <w:tcPr>
            <w:tcW w:w="1280" w:type="dxa"/>
            <w:tcBorders>
              <w:top w:val="nil"/>
              <w:left w:val="nil"/>
              <w:bottom w:val="single" w:sz="8" w:space="0" w:color="auto"/>
              <w:right w:val="single" w:sz="4" w:space="0" w:color="auto"/>
            </w:tcBorders>
            <w:shd w:val="clear" w:color="000000" w:fill="FFFFFF"/>
            <w:noWrap/>
            <w:vAlign w:val="bottom"/>
            <w:hideMark/>
          </w:tcPr>
          <w:p w14:paraId="40EA9031"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1,4%</w:t>
            </w:r>
          </w:p>
        </w:tc>
        <w:tc>
          <w:tcPr>
            <w:tcW w:w="1034" w:type="dxa"/>
            <w:tcBorders>
              <w:top w:val="nil"/>
              <w:left w:val="nil"/>
              <w:bottom w:val="single" w:sz="8" w:space="0" w:color="auto"/>
              <w:right w:val="single" w:sz="4" w:space="0" w:color="auto"/>
            </w:tcBorders>
            <w:shd w:val="clear" w:color="000000" w:fill="FFFFFF"/>
            <w:noWrap/>
            <w:vAlign w:val="bottom"/>
            <w:hideMark/>
          </w:tcPr>
          <w:p w14:paraId="01AA726F"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4,9%</w:t>
            </w:r>
          </w:p>
        </w:tc>
        <w:tc>
          <w:tcPr>
            <w:tcW w:w="1092" w:type="dxa"/>
            <w:tcBorders>
              <w:top w:val="nil"/>
              <w:left w:val="nil"/>
              <w:bottom w:val="single" w:sz="8" w:space="0" w:color="auto"/>
              <w:right w:val="single" w:sz="4" w:space="0" w:color="auto"/>
            </w:tcBorders>
            <w:shd w:val="clear" w:color="000000" w:fill="FFFFFF"/>
            <w:noWrap/>
            <w:vAlign w:val="bottom"/>
            <w:hideMark/>
          </w:tcPr>
          <w:p w14:paraId="02F4BC82"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6,3%</w:t>
            </w:r>
          </w:p>
        </w:tc>
        <w:tc>
          <w:tcPr>
            <w:tcW w:w="709" w:type="dxa"/>
            <w:tcBorders>
              <w:top w:val="nil"/>
              <w:left w:val="nil"/>
              <w:bottom w:val="single" w:sz="8" w:space="0" w:color="auto"/>
              <w:right w:val="single" w:sz="8" w:space="0" w:color="auto"/>
            </w:tcBorders>
            <w:shd w:val="clear" w:color="000000" w:fill="FFFFFF"/>
            <w:noWrap/>
            <w:vAlign w:val="bottom"/>
            <w:hideMark/>
          </w:tcPr>
          <w:p w14:paraId="01F072D7" w14:textId="77777777" w:rsidR="004469B7" w:rsidRPr="004469B7" w:rsidRDefault="004469B7" w:rsidP="004469B7">
            <w:pPr>
              <w:spacing w:after="0" w:line="240" w:lineRule="auto"/>
              <w:jc w:val="center"/>
              <w:rPr>
                <w:rFonts w:eastAsia="Times New Roman"/>
                <w:color w:val="000000"/>
                <w:sz w:val="20"/>
                <w:szCs w:val="20"/>
                <w:lang w:eastAsia="es-CL"/>
              </w:rPr>
            </w:pPr>
            <w:r w:rsidRPr="004469B7">
              <w:rPr>
                <w:rFonts w:eastAsia="Times New Roman"/>
                <w:color w:val="000000"/>
                <w:sz w:val="20"/>
                <w:szCs w:val="20"/>
                <w:lang w:eastAsia="es-CL"/>
              </w:rPr>
              <w:t> </w:t>
            </w:r>
          </w:p>
        </w:tc>
      </w:tr>
    </w:tbl>
    <w:p w14:paraId="3F914221" w14:textId="6DF7959B" w:rsidR="004469B7" w:rsidRPr="004469B7" w:rsidRDefault="004469B7" w:rsidP="00E95F72">
      <w:pPr>
        <w:spacing w:after="0"/>
        <w:jc w:val="both"/>
        <w:rPr>
          <w:sz w:val="18"/>
          <w:szCs w:val="18"/>
          <w:lang w:val="es-ES_tradnl"/>
        </w:rPr>
      </w:pPr>
      <w:r w:rsidRPr="004469B7">
        <w:rPr>
          <w:sz w:val="18"/>
          <w:szCs w:val="18"/>
          <w:lang w:val="es-ES_tradnl"/>
        </w:rPr>
        <w:t>Fuente: elaboración propia en base a información del Banco Central de Chile.</w:t>
      </w:r>
    </w:p>
    <w:p w14:paraId="7F1BF0F3" w14:textId="77777777" w:rsidR="004469B7" w:rsidRDefault="004469B7" w:rsidP="00E95F72">
      <w:pPr>
        <w:spacing w:after="0"/>
        <w:jc w:val="both"/>
        <w:rPr>
          <w:lang w:val="es-ES_tradnl"/>
        </w:rPr>
      </w:pPr>
    </w:p>
    <w:p w14:paraId="4E335AE9" w14:textId="70AD6C12" w:rsidR="004469B7" w:rsidRDefault="00E97A0C" w:rsidP="00E95F72">
      <w:pPr>
        <w:spacing w:after="0"/>
        <w:jc w:val="both"/>
        <w:rPr>
          <w:lang w:val="es-ES_tradnl"/>
        </w:rPr>
      </w:pPr>
      <w:r>
        <w:rPr>
          <w:lang w:val="es-ES_tradnl"/>
        </w:rPr>
        <w:t>Se observa que mientras Minería ha ido disminuyendo su participación en el PIB Nacional, otros sectores, incluido Turismo, han aumentado su participación, destacando el Comercio.</w:t>
      </w:r>
    </w:p>
    <w:p w14:paraId="58D7FA62" w14:textId="77777777" w:rsidR="00E97A0C" w:rsidRDefault="00E97A0C" w:rsidP="00E95F72">
      <w:pPr>
        <w:spacing w:after="0"/>
        <w:jc w:val="both"/>
        <w:rPr>
          <w:lang w:val="es-ES_tradnl"/>
        </w:rPr>
      </w:pPr>
    </w:p>
    <w:p w14:paraId="03F21EE7" w14:textId="77777777" w:rsidR="005E246D" w:rsidRDefault="005E246D">
      <w:pPr>
        <w:spacing w:after="0" w:line="240" w:lineRule="auto"/>
        <w:rPr>
          <w:b/>
          <w:lang w:val="es-ES_tradnl"/>
        </w:rPr>
      </w:pPr>
      <w:r>
        <w:rPr>
          <w:b/>
          <w:lang w:val="es-ES_tradnl"/>
        </w:rPr>
        <w:br w:type="page"/>
      </w:r>
    </w:p>
    <w:p w14:paraId="7F50D9D1" w14:textId="03D455F4" w:rsidR="00E97A0C" w:rsidRPr="00E97A0C" w:rsidRDefault="00E97A0C" w:rsidP="00E97A0C">
      <w:pPr>
        <w:pStyle w:val="Prrafodelista"/>
        <w:numPr>
          <w:ilvl w:val="0"/>
          <w:numId w:val="25"/>
        </w:numPr>
        <w:spacing w:after="0"/>
        <w:jc w:val="both"/>
        <w:rPr>
          <w:b/>
          <w:lang w:val="es-ES_tradnl"/>
        </w:rPr>
      </w:pPr>
      <w:r>
        <w:rPr>
          <w:b/>
          <w:lang w:val="es-ES_tradnl"/>
        </w:rPr>
        <w:lastRenderedPageBreak/>
        <w:t>Empleo</w:t>
      </w:r>
    </w:p>
    <w:p w14:paraId="4817F303" w14:textId="77777777" w:rsidR="00E97A0C" w:rsidRDefault="00E97A0C" w:rsidP="00E95F72">
      <w:pPr>
        <w:spacing w:after="0"/>
        <w:jc w:val="both"/>
        <w:rPr>
          <w:lang w:val="es-ES_tradnl"/>
        </w:rPr>
      </w:pPr>
    </w:p>
    <w:p w14:paraId="704A8463" w14:textId="77777777" w:rsidR="00016EC7" w:rsidRDefault="00E97A0C" w:rsidP="00E95F72">
      <w:pPr>
        <w:spacing w:after="0"/>
        <w:jc w:val="both"/>
        <w:rPr>
          <w:lang w:val="es-ES_tradnl"/>
        </w:rPr>
      </w:pPr>
      <w:r>
        <w:rPr>
          <w:lang w:val="es-ES_tradnl"/>
        </w:rPr>
        <w:t>El aporte del empleo en turismo al empleo nacional es similar al aporte del PIB, registrando de acuerdo a estimaciones de la WTTC un 3,4% como aporte directo.</w:t>
      </w:r>
      <w:r w:rsidR="00016EC7">
        <w:rPr>
          <w:lang w:val="es-ES_tradnl"/>
        </w:rPr>
        <w:t xml:space="preserve"> </w:t>
      </w:r>
    </w:p>
    <w:p w14:paraId="3F5FAB93" w14:textId="77777777" w:rsidR="00016EC7" w:rsidRDefault="00016EC7" w:rsidP="00E95F72">
      <w:pPr>
        <w:spacing w:after="0"/>
        <w:jc w:val="both"/>
        <w:rPr>
          <w:lang w:val="es-ES_tradnl"/>
        </w:rPr>
      </w:pPr>
    </w:p>
    <w:p w14:paraId="5BD9FB03" w14:textId="553DF976" w:rsidR="00E97A0C" w:rsidRPr="00372508" w:rsidRDefault="00E97A0C" w:rsidP="00E97A0C">
      <w:pPr>
        <w:spacing w:after="0"/>
        <w:jc w:val="center"/>
        <w:rPr>
          <w:b/>
          <w:lang w:val="es-ES_tradnl"/>
        </w:rPr>
      </w:pPr>
      <w:r w:rsidRPr="00372508">
        <w:rPr>
          <w:b/>
          <w:lang w:val="es-ES_tradnl"/>
        </w:rPr>
        <w:t xml:space="preserve">Aporte del </w:t>
      </w:r>
      <w:r>
        <w:rPr>
          <w:b/>
          <w:lang w:val="es-ES_tradnl"/>
        </w:rPr>
        <w:t>empleo en turismo al empleo nacional</w:t>
      </w:r>
    </w:p>
    <w:p w14:paraId="0D089E68" w14:textId="7AE13854" w:rsidR="00E97A0C" w:rsidRDefault="00E97A0C" w:rsidP="00E95F72">
      <w:pPr>
        <w:spacing w:after="0"/>
        <w:jc w:val="both"/>
        <w:rPr>
          <w:lang w:val="es-ES_tradnl"/>
        </w:rPr>
      </w:pPr>
      <w:r w:rsidRPr="00372508">
        <w:rPr>
          <w:noProof/>
          <w:lang w:eastAsia="es-CL"/>
        </w:rPr>
        <mc:AlternateContent>
          <mc:Choice Requires="wps">
            <w:drawing>
              <wp:anchor distT="0" distB="0" distL="114300" distR="114300" simplePos="0" relativeHeight="251663360" behindDoc="0" locked="0" layoutInCell="1" allowOverlap="1" wp14:anchorId="35035B86" wp14:editId="51030EE4">
                <wp:simplePos x="0" y="0"/>
                <wp:positionH relativeFrom="column">
                  <wp:posOffset>1720215</wp:posOffset>
                </wp:positionH>
                <wp:positionV relativeFrom="paragraph">
                  <wp:posOffset>900429</wp:posOffset>
                </wp:positionV>
                <wp:extent cx="561975" cy="2238375"/>
                <wp:effectExtent l="0" t="0" r="28575" b="28575"/>
                <wp:wrapNone/>
                <wp:docPr id="14" name="Rectángulo 10"/>
                <wp:cNvGraphicFramePr/>
                <a:graphic xmlns:a="http://schemas.openxmlformats.org/drawingml/2006/main">
                  <a:graphicData uri="http://schemas.microsoft.com/office/word/2010/wordprocessingShape">
                    <wps:wsp>
                      <wps:cNvSpPr/>
                      <wps:spPr>
                        <a:xfrm>
                          <a:off x="0" y="0"/>
                          <a:ext cx="561975" cy="2238375"/>
                        </a:xfrm>
                        <a:prstGeom prst="rect">
                          <a:avLst/>
                        </a:prstGeom>
                        <a:noFill/>
                        <a:ln w="12700">
                          <a:solidFill>
                            <a:srgbClr val="FF0000"/>
                          </a:solidFill>
                          <a:prstDash val="sysDash"/>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332A46D" id="Rectángulo 10" o:spid="_x0000_s1026" style="position:absolute;margin-left:135.45pt;margin-top:70.9pt;width:44.2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" filled="f" strokecolor="red" strokeweight="1pt">
                <v:stroke dashstyle="3 1"/>
              </v:rect>
            </w:pict>
          </mc:Fallback>
        </mc:AlternateContent>
      </w:r>
      <w:r w:rsidRPr="00E97A0C">
        <w:rPr>
          <w:noProof/>
          <w:lang w:eastAsia="es-CL"/>
        </w:rPr>
        <w:drawing>
          <wp:inline distT="0" distB="0" distL="0" distR="0" wp14:anchorId="7EA85529" wp14:editId="4E8AD8A4">
            <wp:extent cx="5613400" cy="3349625"/>
            <wp:effectExtent l="0" t="0" r="6350" b="317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1EFAE3" w14:textId="7B25F97D" w:rsidR="00E97A0C" w:rsidRDefault="00E97A0C" w:rsidP="00E97A0C">
      <w:pPr>
        <w:spacing w:after="0"/>
        <w:jc w:val="both"/>
        <w:rPr>
          <w:sz w:val="18"/>
          <w:szCs w:val="18"/>
          <w:lang w:val="es-ES_tradnl"/>
        </w:rPr>
      </w:pPr>
      <w:r w:rsidRPr="00372508">
        <w:rPr>
          <w:sz w:val="18"/>
          <w:szCs w:val="18"/>
          <w:lang w:val="es-ES_tradnl"/>
        </w:rPr>
        <w:t>Fuente: WTTC, 2016</w:t>
      </w:r>
    </w:p>
    <w:p w14:paraId="72DE7B12" w14:textId="16E8B509" w:rsidR="00E97A0C" w:rsidRDefault="00E97A0C" w:rsidP="00E95F72">
      <w:pPr>
        <w:spacing w:after="0"/>
        <w:jc w:val="both"/>
        <w:rPr>
          <w:lang w:val="es-ES_tradnl"/>
        </w:rPr>
      </w:pPr>
    </w:p>
    <w:p w14:paraId="1974DDE5" w14:textId="020B1BAB" w:rsidR="00E97A0C" w:rsidRDefault="00E97A0C" w:rsidP="00E95F72">
      <w:pPr>
        <w:spacing w:after="0"/>
        <w:jc w:val="both"/>
        <w:rPr>
          <w:lang w:val="es-ES_tradnl"/>
        </w:rPr>
      </w:pPr>
    </w:p>
    <w:p w14:paraId="7A982C4D" w14:textId="2E9CBA39" w:rsidR="005E246D" w:rsidRDefault="005E246D" w:rsidP="005E246D">
      <w:pPr>
        <w:spacing w:after="0"/>
        <w:jc w:val="both"/>
        <w:rPr>
          <w:lang w:val="es-ES_tradnl"/>
        </w:rPr>
      </w:pPr>
      <w:r>
        <w:rPr>
          <w:lang w:val="es-ES_tradnl"/>
        </w:rPr>
        <w:t xml:space="preserve">Los ocupados en el último trimestre móvil Febrero-Abril 2016 en Hoteles y Restaurantes </w:t>
      </w:r>
      <w:proofErr w:type="gramStart"/>
      <w:r>
        <w:rPr>
          <w:lang w:val="es-ES_tradnl"/>
        </w:rPr>
        <w:t>fue</w:t>
      </w:r>
      <w:proofErr w:type="gramEnd"/>
      <w:r>
        <w:rPr>
          <w:lang w:val="es-ES_tradnl"/>
        </w:rPr>
        <w:t xml:space="preserve"> de 355.533 personas. Esto equivale a un crecimiento del 21,4% respecto al mismo período del 2015. El aumento del 21,4% en los ocupados del sector se explica tanto por un aumento en los cuenta propia de un 55,6% y un aumento de los asalariados del sector privado en un 16,0%. Sin embargo, los asalariados del sector privado tuvieron una mayor incidencia (</w:t>
      </w:r>
      <w:proofErr w:type="gramStart"/>
      <w:r>
        <w:rPr>
          <w:lang w:val="es-ES_tradnl"/>
        </w:rPr>
        <w:t>un</w:t>
      </w:r>
      <w:proofErr w:type="gramEnd"/>
      <w:r>
        <w:rPr>
          <w:lang w:val="es-ES_tradnl"/>
        </w:rPr>
        <w:t xml:space="preserve"> poco más de 3,3 puntos porcentuales) en el crecimiento total que los cuenta propia. En los últimos 6 años, los ocupados del sector han crecido un promedio anual de un 7%, siendo el último año el incremento más significativo.</w:t>
      </w:r>
    </w:p>
    <w:p w14:paraId="3AE88281" w14:textId="77777777" w:rsidR="005E246D" w:rsidRDefault="005E246D" w:rsidP="005E246D">
      <w:pPr>
        <w:spacing w:after="0"/>
        <w:jc w:val="both"/>
        <w:rPr>
          <w:lang w:val="es-ES_tradnl"/>
        </w:rPr>
      </w:pPr>
    </w:p>
    <w:p w14:paraId="04E36483" w14:textId="77777777" w:rsidR="005E246D" w:rsidRDefault="005E246D" w:rsidP="005E246D">
      <w:pPr>
        <w:spacing w:after="0"/>
        <w:jc w:val="both"/>
        <w:rPr>
          <w:lang w:val="es-ES_tradnl"/>
        </w:rPr>
      </w:pPr>
      <w:r>
        <w:rPr>
          <w:noProof/>
          <w:lang w:eastAsia="es-CL"/>
        </w:rPr>
        <w:lastRenderedPageBreak/>
        <w:drawing>
          <wp:inline distT="0" distB="0" distL="0" distR="0" wp14:anchorId="1C38EC9B" wp14:editId="0E7E9F44">
            <wp:extent cx="5314950" cy="3857625"/>
            <wp:effectExtent l="0" t="0" r="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939A4F" w14:textId="77777777" w:rsidR="005E246D" w:rsidRPr="00016EC7" w:rsidRDefault="005E246D" w:rsidP="005E246D">
      <w:pPr>
        <w:spacing w:after="0"/>
        <w:jc w:val="both"/>
        <w:rPr>
          <w:sz w:val="18"/>
          <w:szCs w:val="18"/>
          <w:lang w:val="es-ES_tradnl"/>
        </w:rPr>
      </w:pPr>
      <w:r w:rsidRPr="00016EC7">
        <w:rPr>
          <w:sz w:val="18"/>
          <w:szCs w:val="18"/>
          <w:lang w:val="es-ES_tradnl"/>
        </w:rPr>
        <w:t>Fuente: Elaboración propia en base a datos del INE.</w:t>
      </w:r>
    </w:p>
    <w:p w14:paraId="13937C54" w14:textId="77777777" w:rsidR="005E246D" w:rsidRDefault="005E246D" w:rsidP="005E246D">
      <w:pPr>
        <w:spacing w:after="0"/>
        <w:jc w:val="both"/>
        <w:rPr>
          <w:lang w:val="es-ES_tradnl"/>
        </w:rPr>
      </w:pPr>
    </w:p>
    <w:p w14:paraId="1C155BC3" w14:textId="77777777" w:rsidR="005E246D" w:rsidRDefault="005E246D" w:rsidP="005E246D">
      <w:pPr>
        <w:spacing w:after="0"/>
        <w:jc w:val="both"/>
        <w:rPr>
          <w:lang w:val="es-ES_tradnl"/>
        </w:rPr>
      </w:pPr>
    </w:p>
    <w:p w14:paraId="7A6E18FC" w14:textId="77777777" w:rsidR="005E246D" w:rsidRDefault="005E246D" w:rsidP="005E246D">
      <w:pPr>
        <w:spacing w:after="0"/>
        <w:jc w:val="both"/>
        <w:rPr>
          <w:lang w:val="es-ES_tradnl"/>
        </w:rPr>
      </w:pPr>
      <w:r>
        <w:rPr>
          <w:lang w:val="es-ES_tradnl"/>
        </w:rPr>
        <w:t xml:space="preserve">De los 355 mil ocupados en febrero-abril 2016, un 20% son cuenta propia, un 69% son asalariados del sector privado, </w:t>
      </w:r>
      <w:proofErr w:type="gramStart"/>
      <w:r>
        <w:rPr>
          <w:lang w:val="es-ES_tradnl"/>
        </w:rPr>
        <w:t>un 8% empleadores</w:t>
      </w:r>
      <w:proofErr w:type="gramEnd"/>
      <w:r>
        <w:rPr>
          <w:lang w:val="es-ES_tradnl"/>
        </w:rPr>
        <w:t xml:space="preserve"> y un 3% familiar o personal no remunerado.</w:t>
      </w:r>
    </w:p>
    <w:p w14:paraId="6CC170E2" w14:textId="77777777" w:rsidR="005E246D" w:rsidRDefault="005E246D" w:rsidP="005E246D">
      <w:pPr>
        <w:spacing w:after="0"/>
        <w:jc w:val="both"/>
        <w:rPr>
          <w:lang w:val="es-ES_tradnl"/>
        </w:rPr>
      </w:pPr>
    </w:p>
    <w:p w14:paraId="54147953" w14:textId="2A3E7FDC" w:rsidR="005E246D" w:rsidRDefault="005E246D" w:rsidP="005E246D">
      <w:pPr>
        <w:spacing w:after="0"/>
        <w:jc w:val="both"/>
        <w:rPr>
          <w:lang w:val="es-ES_tradnl"/>
        </w:rPr>
      </w:pPr>
      <w:r>
        <w:rPr>
          <w:lang w:val="es-ES_tradnl"/>
        </w:rPr>
        <w:t xml:space="preserve">Esta participación de ocupados por cuenta propia ha crecido en los últimos años, ya que en el 2010, la participación de </w:t>
      </w:r>
      <w:proofErr w:type="gramStart"/>
      <w:r>
        <w:rPr>
          <w:lang w:val="es-ES_tradnl"/>
        </w:rPr>
        <w:t>los cuenta propia</w:t>
      </w:r>
      <w:proofErr w:type="gramEnd"/>
      <w:r>
        <w:rPr>
          <w:lang w:val="es-ES_tradnl"/>
        </w:rPr>
        <w:t xml:space="preserve"> en el total de ocupados del sector promedió un 13%, mientras que los asalariados promediaron un 74%. Sin embargo, ambas categorías laborales han aumentado el número de ocupados, siendo de hecho los asalariados los que </w:t>
      </w:r>
      <w:r w:rsidR="003C02E2">
        <w:rPr>
          <w:lang w:val="es-ES_tradnl"/>
        </w:rPr>
        <w:t>han tenido mayor incidencia.</w:t>
      </w:r>
    </w:p>
    <w:p w14:paraId="307F3C4C" w14:textId="77777777" w:rsidR="005E246D" w:rsidRDefault="005E246D" w:rsidP="005E246D">
      <w:pPr>
        <w:spacing w:after="0"/>
        <w:jc w:val="both"/>
        <w:rPr>
          <w:lang w:val="es-ES_tradnl"/>
        </w:rPr>
      </w:pPr>
    </w:p>
    <w:p w14:paraId="337156E2" w14:textId="250C2FC3" w:rsidR="00E97A0C" w:rsidRDefault="005E246D" w:rsidP="00E95F72">
      <w:pPr>
        <w:spacing w:after="0"/>
        <w:jc w:val="both"/>
        <w:rPr>
          <w:lang w:val="es-ES_tradnl"/>
        </w:rPr>
      </w:pPr>
      <w:r>
        <w:rPr>
          <w:noProof/>
          <w:lang w:eastAsia="es-CL"/>
        </w:rPr>
        <w:lastRenderedPageBreak/>
        <w:drawing>
          <wp:inline distT="0" distB="0" distL="0" distR="0" wp14:anchorId="5F911950" wp14:editId="5CF93444">
            <wp:extent cx="5705475" cy="3838575"/>
            <wp:effectExtent l="0" t="0" r="9525"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583C1" w14:textId="77777777" w:rsidR="005138CE" w:rsidRPr="00016EC7" w:rsidRDefault="005138CE" w:rsidP="005138CE">
      <w:pPr>
        <w:spacing w:after="0"/>
        <w:jc w:val="both"/>
        <w:rPr>
          <w:sz w:val="18"/>
          <w:szCs w:val="18"/>
          <w:lang w:val="es-ES_tradnl"/>
        </w:rPr>
      </w:pPr>
      <w:r w:rsidRPr="00016EC7">
        <w:rPr>
          <w:sz w:val="18"/>
          <w:szCs w:val="18"/>
          <w:lang w:val="es-ES_tradnl"/>
        </w:rPr>
        <w:t>Fuente: Elaboración propia en base a datos del INE.</w:t>
      </w:r>
    </w:p>
    <w:p w14:paraId="22066035" w14:textId="77777777" w:rsidR="005138CE" w:rsidRDefault="005138CE" w:rsidP="00E95F72">
      <w:pPr>
        <w:spacing w:after="0"/>
        <w:jc w:val="both"/>
        <w:rPr>
          <w:lang w:val="es-ES_tradnl"/>
        </w:rPr>
      </w:pPr>
    </w:p>
    <w:p w14:paraId="4AFAC04A" w14:textId="77777777" w:rsidR="004F3E96" w:rsidRDefault="004F3E96" w:rsidP="00E95F72">
      <w:pPr>
        <w:spacing w:after="0"/>
        <w:jc w:val="both"/>
        <w:rPr>
          <w:lang w:val="es-ES_tradnl"/>
        </w:rPr>
      </w:pPr>
    </w:p>
    <w:p w14:paraId="12789B62" w14:textId="77777777" w:rsidR="00165961" w:rsidRDefault="00165961">
      <w:pPr>
        <w:spacing w:after="0" w:line="240" w:lineRule="auto"/>
        <w:rPr>
          <w:b/>
          <w:lang w:val="es-ES_tradnl"/>
        </w:rPr>
      </w:pPr>
      <w:r>
        <w:rPr>
          <w:b/>
          <w:lang w:val="es-ES_tradnl"/>
        </w:rPr>
        <w:br w:type="page"/>
      </w:r>
    </w:p>
    <w:p w14:paraId="10AFA962" w14:textId="4E00DF05" w:rsidR="004F3E96" w:rsidRPr="004F3E96" w:rsidRDefault="004F3E96" w:rsidP="004F3E96">
      <w:pPr>
        <w:pStyle w:val="Prrafodelista"/>
        <w:numPr>
          <w:ilvl w:val="0"/>
          <w:numId w:val="25"/>
        </w:numPr>
        <w:spacing w:after="0"/>
        <w:jc w:val="both"/>
        <w:rPr>
          <w:b/>
          <w:lang w:val="es-ES_tradnl"/>
        </w:rPr>
      </w:pPr>
      <w:r w:rsidRPr="004F3E96">
        <w:rPr>
          <w:b/>
          <w:lang w:val="es-ES_tradnl"/>
        </w:rPr>
        <w:lastRenderedPageBreak/>
        <w:t>Índice de Remuneraciones y Costo de Mano de Obra</w:t>
      </w:r>
    </w:p>
    <w:p w14:paraId="29C8A2B7" w14:textId="77777777" w:rsidR="004F3E96" w:rsidRDefault="004F3E96" w:rsidP="004F3E96">
      <w:pPr>
        <w:spacing w:after="0"/>
        <w:jc w:val="both"/>
        <w:rPr>
          <w:lang w:val="es-ES_tradnl"/>
        </w:rPr>
      </w:pPr>
    </w:p>
    <w:p w14:paraId="25580AC4" w14:textId="6A1B0A56" w:rsidR="004F3E96" w:rsidRDefault="004F3E96" w:rsidP="004F3E96">
      <w:pPr>
        <w:spacing w:after="0"/>
        <w:jc w:val="both"/>
      </w:pPr>
      <w:bookmarkStart w:id="0" w:name="_GoBack"/>
      <w:r w:rsidRPr="00187EB6">
        <w:t>El Índice de remuneraciones para el mes de abril fue de 147,44, teniendo una variación mensual de -1,0</w:t>
      </w:r>
      <w:r>
        <w:t>%</w:t>
      </w:r>
      <w:r w:rsidRPr="00187EB6">
        <w:t>,</w:t>
      </w:r>
      <w:r>
        <w:t xml:space="preserve"> sin embargo,</w:t>
      </w:r>
      <w:r w:rsidRPr="00187EB6">
        <w:t xml:space="preserve"> esta variación ha sido la única negativa en lo que va en el año</w:t>
      </w:r>
      <w:r>
        <w:t>. Al analizar</w:t>
      </w:r>
      <w:r w:rsidRPr="00187EB6">
        <w:t xml:space="preserve"> las variaciones anuales todas son positivas, siendo superior al 8%, llegando </w:t>
      </w:r>
      <w:r>
        <w:t xml:space="preserve">este año </w:t>
      </w:r>
      <w:r w:rsidRPr="00187EB6">
        <w:t>a su máxima variación la del mes de febrero con 9,6 %. Se refuerza este aumento revisando la variación acumula al mes de abril que alcanza a 1,3% con</w:t>
      </w:r>
      <w:r>
        <w:t xml:space="preserve"> respecto al mismo período</w:t>
      </w:r>
      <w:r w:rsidRPr="00187EB6">
        <w:t xml:space="preserve"> del año anterior.</w:t>
      </w:r>
    </w:p>
    <w:bookmarkEnd w:id="0"/>
    <w:p w14:paraId="2CC7A9C1" w14:textId="77777777" w:rsidR="004F3E96" w:rsidRDefault="004F3E96" w:rsidP="004F3E96">
      <w:pPr>
        <w:spacing w:after="0"/>
        <w:jc w:val="both"/>
      </w:pPr>
    </w:p>
    <w:p w14:paraId="58E5E5E2" w14:textId="5EEA10D2" w:rsidR="004F3E96" w:rsidRDefault="00E41019" w:rsidP="004F3E96">
      <w:pPr>
        <w:spacing w:after="0"/>
        <w:jc w:val="both"/>
        <w:rPr>
          <w:sz w:val="18"/>
          <w:szCs w:val="18"/>
          <w:lang w:val="es-ES_tradnl"/>
        </w:rPr>
      </w:pPr>
      <w:r>
        <w:rPr>
          <w:noProof/>
          <w:lang w:eastAsia="es-CL"/>
        </w:rPr>
        <w:drawing>
          <wp:inline distT="0" distB="0" distL="0" distR="0" wp14:anchorId="54942B45" wp14:editId="6FC04DDB">
            <wp:extent cx="5613400" cy="29908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1ECBE1" w14:textId="06B0F11D" w:rsidR="004F3E96" w:rsidRPr="00016EC7" w:rsidRDefault="004F3E96" w:rsidP="004F3E96">
      <w:pPr>
        <w:spacing w:after="0"/>
        <w:jc w:val="both"/>
        <w:rPr>
          <w:sz w:val="18"/>
          <w:szCs w:val="18"/>
          <w:lang w:val="es-ES_tradnl"/>
        </w:rPr>
      </w:pPr>
      <w:r w:rsidRPr="00016EC7">
        <w:rPr>
          <w:sz w:val="18"/>
          <w:szCs w:val="18"/>
          <w:lang w:val="es-ES_tradnl"/>
        </w:rPr>
        <w:t>Fuente: Elaboración propia en base a datos del INE.</w:t>
      </w:r>
    </w:p>
    <w:p w14:paraId="558B5508" w14:textId="581D3417" w:rsidR="004F3E96" w:rsidRDefault="004F3E96" w:rsidP="004F3E96">
      <w:pPr>
        <w:spacing w:after="0"/>
        <w:jc w:val="both"/>
        <w:rPr>
          <w:lang w:val="es-ES_tradnl"/>
        </w:rPr>
      </w:pPr>
    </w:p>
    <w:p w14:paraId="5D49FE61" w14:textId="2D14E5C2" w:rsidR="004F3E96" w:rsidRDefault="004F3E96" w:rsidP="004F3E96">
      <w:pPr>
        <w:spacing w:after="0"/>
        <w:jc w:val="both"/>
        <w:rPr>
          <w:lang w:val="es-ES_tradnl"/>
        </w:rPr>
      </w:pPr>
    </w:p>
    <w:p w14:paraId="277F752E" w14:textId="1A8943AD" w:rsidR="004F3E96" w:rsidRPr="00187EB6" w:rsidRDefault="004F3E96" w:rsidP="004F3E96">
      <w:pPr>
        <w:jc w:val="both"/>
      </w:pPr>
      <w:r w:rsidRPr="00187EB6">
        <w:t>El Índice de</w:t>
      </w:r>
      <w:r>
        <w:t xml:space="preserve"> costo de mano de obra</w:t>
      </w:r>
      <w:r w:rsidRPr="00187EB6">
        <w:t xml:space="preserve"> para el mes de abril fue </w:t>
      </w:r>
      <w:r>
        <w:t>de 153</w:t>
      </w:r>
      <w:r w:rsidRPr="00187EB6">
        <w:t>,</w:t>
      </w:r>
      <w:r>
        <w:t>7</w:t>
      </w:r>
      <w:r w:rsidRPr="00187EB6">
        <w:t xml:space="preserve"> teniendo una variaci</w:t>
      </w:r>
      <w:r>
        <w:t xml:space="preserve">ón mensual de -0,6%. En lo que respecta a la variación en doce meses, entre los meses </w:t>
      </w:r>
      <w:r w:rsidR="00E41019">
        <w:t xml:space="preserve">de </w:t>
      </w:r>
      <w:r>
        <w:t xml:space="preserve">enero a abril del 2016, </w:t>
      </w:r>
      <w:r w:rsidR="00E41019">
        <w:t xml:space="preserve">alcanza un promedio un 9,5%, considerando que ha tenido siempre variaciones positivas. </w:t>
      </w:r>
      <w:r>
        <w:t xml:space="preserve">En lo que respecta a la variación acumulada, alcanza al mes de abril un 0,5%. </w:t>
      </w:r>
    </w:p>
    <w:p w14:paraId="7AB0AD58" w14:textId="7735AA0B" w:rsidR="004F3E96" w:rsidRPr="004F3E96" w:rsidRDefault="004F3E96" w:rsidP="004F3E96">
      <w:pPr>
        <w:spacing w:after="0"/>
        <w:jc w:val="both"/>
      </w:pPr>
    </w:p>
    <w:p w14:paraId="66F70E90" w14:textId="005F258F" w:rsidR="004F3E96" w:rsidRDefault="00E41019" w:rsidP="004F3E96">
      <w:pPr>
        <w:spacing w:after="0"/>
        <w:jc w:val="both"/>
        <w:rPr>
          <w:lang w:val="es-ES_tradnl"/>
        </w:rPr>
      </w:pPr>
      <w:r>
        <w:rPr>
          <w:noProof/>
          <w:lang w:eastAsia="es-CL"/>
        </w:rPr>
        <w:lastRenderedPageBreak/>
        <w:drawing>
          <wp:inline distT="0" distB="0" distL="0" distR="0" wp14:anchorId="5D309D96" wp14:editId="0F724C36">
            <wp:extent cx="5737225" cy="324802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7B351A" w14:textId="77777777" w:rsidR="00E41019" w:rsidRPr="00016EC7" w:rsidRDefault="00E41019" w:rsidP="00E41019">
      <w:pPr>
        <w:spacing w:after="0"/>
        <w:jc w:val="both"/>
        <w:rPr>
          <w:sz w:val="18"/>
          <w:szCs w:val="18"/>
          <w:lang w:val="es-ES_tradnl"/>
        </w:rPr>
      </w:pPr>
      <w:r w:rsidRPr="00016EC7">
        <w:rPr>
          <w:sz w:val="18"/>
          <w:szCs w:val="18"/>
          <w:lang w:val="es-ES_tradnl"/>
        </w:rPr>
        <w:t>Fuente: Elaboración propia en base a datos del INE.</w:t>
      </w:r>
    </w:p>
    <w:p w14:paraId="2EF6A56C" w14:textId="451B6AD1" w:rsidR="004F3E96" w:rsidRDefault="004F3E96" w:rsidP="004F3E96">
      <w:pPr>
        <w:spacing w:after="0"/>
        <w:jc w:val="both"/>
        <w:rPr>
          <w:lang w:val="es-ES_tradnl"/>
        </w:rPr>
      </w:pPr>
    </w:p>
    <w:p w14:paraId="4734E46B" w14:textId="5B9437FA" w:rsidR="004F3E96" w:rsidRDefault="004F3E96" w:rsidP="004F3E96">
      <w:pPr>
        <w:spacing w:after="0"/>
        <w:jc w:val="both"/>
        <w:rPr>
          <w:lang w:val="es-ES_tradnl"/>
        </w:rPr>
      </w:pPr>
    </w:p>
    <w:p w14:paraId="532BC1F3" w14:textId="03546AD7" w:rsidR="004F3E96" w:rsidRDefault="00E41019" w:rsidP="004F3E96">
      <w:pPr>
        <w:spacing w:after="0"/>
        <w:jc w:val="both"/>
        <w:rPr>
          <w:lang w:val="es-ES_tradnl"/>
        </w:rPr>
      </w:pPr>
      <w:r>
        <w:t>Las variaciones anuales del IR y ICMO se encuentran altamente relacionadas (todas positivas), siendo las de éste último marginalmente mayor para todos los meses del 2016 (enero a abril), entendiendo con lo anterior que el costo de mano de obra para las empresas de la actividad de Hoteles y Restaurantes ha sido mayor con respecto al mismo periodo del año pasado y mayor a la variaciones presentadas por parte de las remuneraciones.</w:t>
      </w:r>
    </w:p>
    <w:p w14:paraId="50BC6264" w14:textId="77777777" w:rsidR="004F3E96" w:rsidRDefault="004F3E96" w:rsidP="004F3E96">
      <w:pPr>
        <w:spacing w:after="0"/>
        <w:jc w:val="both"/>
        <w:rPr>
          <w:lang w:val="es-ES_tradnl"/>
        </w:rPr>
      </w:pPr>
    </w:p>
    <w:p w14:paraId="02C82D47" w14:textId="23C31283" w:rsidR="004F3E96" w:rsidRDefault="00E41019" w:rsidP="004F3E96">
      <w:pPr>
        <w:spacing w:after="0"/>
        <w:jc w:val="both"/>
        <w:rPr>
          <w:lang w:val="es-ES_tradnl"/>
        </w:rPr>
      </w:pPr>
      <w:r>
        <w:rPr>
          <w:noProof/>
          <w:lang w:eastAsia="es-CL"/>
        </w:rPr>
        <w:lastRenderedPageBreak/>
        <w:drawing>
          <wp:inline distT="0" distB="0" distL="0" distR="0" wp14:anchorId="0DA9E06B" wp14:editId="40D0578D">
            <wp:extent cx="5613400" cy="3248025"/>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2472D2" w14:textId="77777777" w:rsidR="00E41019" w:rsidRPr="00016EC7" w:rsidRDefault="00E41019" w:rsidP="00E41019">
      <w:pPr>
        <w:spacing w:after="0"/>
        <w:jc w:val="both"/>
        <w:rPr>
          <w:sz w:val="18"/>
          <w:szCs w:val="18"/>
          <w:lang w:val="es-ES_tradnl"/>
        </w:rPr>
      </w:pPr>
      <w:r w:rsidRPr="00016EC7">
        <w:rPr>
          <w:sz w:val="18"/>
          <w:szCs w:val="18"/>
          <w:lang w:val="es-ES_tradnl"/>
        </w:rPr>
        <w:t>Fuente: Elaboración propia en base a datos del INE.</w:t>
      </w:r>
    </w:p>
    <w:p w14:paraId="12EDA01F" w14:textId="77777777" w:rsidR="00E41019" w:rsidRDefault="00E41019" w:rsidP="004F3E96">
      <w:pPr>
        <w:spacing w:after="0"/>
        <w:jc w:val="both"/>
        <w:rPr>
          <w:lang w:val="es-ES_tradnl"/>
        </w:rPr>
      </w:pPr>
    </w:p>
    <w:p w14:paraId="3D93A7D8" w14:textId="77777777" w:rsidR="006A3B85" w:rsidRDefault="006A3B85" w:rsidP="004F3E96">
      <w:pPr>
        <w:spacing w:after="0"/>
        <w:jc w:val="both"/>
        <w:rPr>
          <w:lang w:val="es-ES_tradnl"/>
        </w:rPr>
      </w:pPr>
    </w:p>
    <w:p w14:paraId="649AE4F4" w14:textId="77777777" w:rsidR="006A3B85" w:rsidRDefault="006A3B85" w:rsidP="004F3E96">
      <w:pPr>
        <w:spacing w:after="0"/>
        <w:jc w:val="both"/>
        <w:rPr>
          <w:lang w:val="es-ES_tradnl"/>
        </w:rPr>
      </w:pPr>
    </w:p>
    <w:p w14:paraId="254E5C87" w14:textId="77777777" w:rsidR="006A3B85" w:rsidRDefault="006A3B85" w:rsidP="004F3E96">
      <w:pPr>
        <w:spacing w:after="0"/>
        <w:jc w:val="both"/>
        <w:rPr>
          <w:lang w:val="es-ES_tradnl"/>
        </w:rPr>
      </w:pPr>
    </w:p>
    <w:p w14:paraId="4A40727F" w14:textId="77777777" w:rsidR="006A3B85" w:rsidRDefault="006A3B85" w:rsidP="004F3E96">
      <w:pPr>
        <w:spacing w:after="0"/>
        <w:jc w:val="both"/>
        <w:rPr>
          <w:lang w:val="es-ES_tradnl"/>
        </w:rPr>
      </w:pPr>
    </w:p>
    <w:p w14:paraId="5099710F" w14:textId="4B314E3F" w:rsidR="006A3B85" w:rsidRDefault="006A3B85">
      <w:pPr>
        <w:spacing w:after="0" w:line="240" w:lineRule="auto"/>
        <w:rPr>
          <w:b/>
          <w:lang w:val="es-ES_tradnl"/>
        </w:rPr>
      </w:pPr>
    </w:p>
    <w:p w14:paraId="47CD1B50" w14:textId="352E69B1" w:rsidR="00E41019" w:rsidRDefault="00E41019" w:rsidP="00E41019">
      <w:pPr>
        <w:pStyle w:val="Prrafodelista"/>
        <w:numPr>
          <w:ilvl w:val="0"/>
          <w:numId w:val="25"/>
        </w:numPr>
        <w:spacing w:after="0"/>
        <w:jc w:val="both"/>
        <w:rPr>
          <w:b/>
          <w:lang w:val="es-ES_tradnl"/>
        </w:rPr>
      </w:pPr>
      <w:r w:rsidRPr="00E41019">
        <w:rPr>
          <w:b/>
          <w:lang w:val="es-ES_tradnl"/>
        </w:rPr>
        <w:t>Caracterización por tamaño de las empresas</w:t>
      </w:r>
    </w:p>
    <w:p w14:paraId="532B97AE" w14:textId="77777777" w:rsidR="00165961" w:rsidRDefault="00165961" w:rsidP="00165961">
      <w:pPr>
        <w:spacing w:after="0"/>
        <w:jc w:val="both"/>
        <w:rPr>
          <w:b/>
          <w:lang w:val="es-ES_tradnl"/>
        </w:rPr>
      </w:pPr>
    </w:p>
    <w:p w14:paraId="40403903" w14:textId="77777777" w:rsidR="006A3B85" w:rsidRPr="00DA1E7D" w:rsidRDefault="006A3B85" w:rsidP="006A3B85">
      <w:pPr>
        <w:spacing w:before="240"/>
        <w:ind w:right="49"/>
        <w:jc w:val="both"/>
        <w:rPr>
          <w:rFonts w:asciiTheme="minorHAnsi" w:hAnsiTheme="minorHAnsi"/>
        </w:rPr>
      </w:pPr>
      <w:r w:rsidRPr="00DA1E7D">
        <w:rPr>
          <w:rFonts w:asciiTheme="minorHAnsi" w:hAnsiTheme="minorHAnsi"/>
        </w:rPr>
        <w:t>El sector se caracteriza por tener un gran porcentaje de microempresas, las cuales considerando las Actividades Características del Turismo</w:t>
      </w:r>
      <w:r w:rsidRPr="00DA1E7D">
        <w:rPr>
          <w:rStyle w:val="Refdenotaalpie"/>
          <w:rFonts w:asciiTheme="minorHAnsi" w:hAnsiTheme="minorHAnsi"/>
        </w:rPr>
        <w:footnoteReference w:id="4"/>
      </w:r>
      <w:r w:rsidRPr="00DA1E7D">
        <w:rPr>
          <w:rFonts w:asciiTheme="minorHAnsi" w:hAnsiTheme="minorHAnsi"/>
        </w:rPr>
        <w:t xml:space="preserve"> concentran un 80,1% del sector. Las pequeñas corresponden a un 16,5%, mientras que las medianas un 2,2% y las grandes un 1,1%</w:t>
      </w:r>
      <w:r>
        <w:rPr>
          <w:rStyle w:val="Refdenotaalpie"/>
          <w:rFonts w:asciiTheme="minorHAnsi" w:hAnsiTheme="minorHAnsi"/>
        </w:rPr>
        <w:footnoteReference w:id="5"/>
      </w:r>
      <w:r w:rsidRPr="00DA1E7D">
        <w:rPr>
          <w:rFonts w:asciiTheme="minorHAnsi" w:hAnsiTheme="minorHAnsi"/>
        </w:rPr>
        <w:t>.</w:t>
      </w:r>
    </w:p>
    <w:p w14:paraId="3E2C3028" w14:textId="77777777" w:rsidR="006A3B85" w:rsidRPr="006A3B85" w:rsidRDefault="006A3B85" w:rsidP="00165961">
      <w:pPr>
        <w:spacing w:after="0"/>
        <w:jc w:val="both"/>
        <w:rPr>
          <w:b/>
        </w:rPr>
      </w:pPr>
    </w:p>
    <w:p w14:paraId="40118A95" w14:textId="29D6C009" w:rsidR="00165961" w:rsidRDefault="00165961" w:rsidP="00165961">
      <w:pPr>
        <w:spacing w:after="0"/>
        <w:jc w:val="center"/>
        <w:rPr>
          <w:b/>
          <w:lang w:val="es-ES_tradnl"/>
        </w:rPr>
      </w:pPr>
      <w:r w:rsidRPr="00165961">
        <w:rPr>
          <w:noProof/>
          <w:lang w:eastAsia="es-CL"/>
        </w:rPr>
        <w:lastRenderedPageBreak/>
        <w:drawing>
          <wp:inline distT="0" distB="0" distL="0" distR="0" wp14:anchorId="0FA7AB7C" wp14:editId="70E6E8C1">
            <wp:extent cx="4819650" cy="819175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8918" cy="8207511"/>
                    </a:xfrm>
                    <a:prstGeom prst="rect">
                      <a:avLst/>
                    </a:prstGeom>
                    <a:noFill/>
                    <a:ln>
                      <a:noFill/>
                    </a:ln>
                  </pic:spPr>
                </pic:pic>
              </a:graphicData>
            </a:graphic>
          </wp:inline>
        </w:drawing>
      </w:r>
    </w:p>
    <w:p w14:paraId="7BFE512A" w14:textId="2F10061B" w:rsidR="00165961" w:rsidRPr="00165961" w:rsidRDefault="00165961" w:rsidP="00165961">
      <w:pPr>
        <w:spacing w:after="0"/>
        <w:jc w:val="both"/>
        <w:rPr>
          <w:b/>
          <w:lang w:val="es-ES_tradnl"/>
        </w:rPr>
      </w:pPr>
      <w:r w:rsidRPr="00165961">
        <w:rPr>
          <w:noProof/>
          <w:lang w:eastAsia="es-CL"/>
        </w:rPr>
        <w:lastRenderedPageBreak/>
        <w:drawing>
          <wp:inline distT="0" distB="0" distL="0" distR="0" wp14:anchorId="62869368" wp14:editId="2E74F640">
            <wp:extent cx="5613400" cy="6456368"/>
            <wp:effectExtent l="0" t="0" r="635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3400" cy="6456368"/>
                    </a:xfrm>
                    <a:prstGeom prst="rect">
                      <a:avLst/>
                    </a:prstGeom>
                    <a:noFill/>
                    <a:ln>
                      <a:noFill/>
                    </a:ln>
                  </pic:spPr>
                </pic:pic>
              </a:graphicData>
            </a:graphic>
          </wp:inline>
        </w:drawing>
      </w:r>
    </w:p>
    <w:sectPr w:rsidR="00165961" w:rsidRPr="00165961" w:rsidSect="00F6134D">
      <w:headerReference w:type="default" r:id="rId24"/>
      <w:footerReference w:type="default" r:id="rId25"/>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FE30D" w14:textId="77777777" w:rsidR="00651C6C" w:rsidRDefault="00651C6C">
      <w:pPr>
        <w:spacing w:after="0" w:line="240" w:lineRule="auto"/>
      </w:pPr>
      <w:r>
        <w:separator/>
      </w:r>
    </w:p>
  </w:endnote>
  <w:endnote w:type="continuationSeparator" w:id="0">
    <w:p w14:paraId="7DDC8923" w14:textId="77777777" w:rsidR="00651C6C" w:rsidRDefault="0065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14:paraId="4664C9E7" w14:textId="77777777" w:rsidR="003A46B9" w:rsidRDefault="003A46B9">
        <w:pPr>
          <w:pStyle w:val="Piedepgina"/>
          <w:jc w:val="right"/>
        </w:pPr>
        <w:r>
          <w:fldChar w:fldCharType="begin"/>
        </w:r>
        <w:r>
          <w:instrText>PAGE   \* MERGEFORMAT</w:instrText>
        </w:r>
        <w:r>
          <w:fldChar w:fldCharType="separate"/>
        </w:r>
        <w:r w:rsidR="003C02E2">
          <w:rPr>
            <w:noProof/>
          </w:rPr>
          <w:t>15</w:t>
        </w:r>
        <w:r>
          <w:fldChar w:fldCharType="end"/>
        </w:r>
      </w:p>
    </w:sdtContent>
  </w:sdt>
  <w:p w14:paraId="23A272F2" w14:textId="77777777"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14:paraId="2A206117" w14:textId="77777777"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14:paraId="37398B85" w14:textId="77777777"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CDB3C" w14:textId="77777777" w:rsidR="00651C6C" w:rsidRDefault="00651C6C">
      <w:pPr>
        <w:spacing w:after="0" w:line="240" w:lineRule="auto"/>
      </w:pPr>
      <w:r>
        <w:separator/>
      </w:r>
    </w:p>
  </w:footnote>
  <w:footnote w:type="continuationSeparator" w:id="0">
    <w:p w14:paraId="30D7EC72" w14:textId="77777777" w:rsidR="00651C6C" w:rsidRDefault="00651C6C">
      <w:pPr>
        <w:spacing w:after="0" w:line="240" w:lineRule="auto"/>
      </w:pPr>
      <w:r>
        <w:continuationSeparator/>
      </w:r>
    </w:p>
  </w:footnote>
  <w:footnote w:id="1">
    <w:p w14:paraId="69182A48" w14:textId="77777777" w:rsidR="00865056" w:rsidRPr="00047985" w:rsidRDefault="00865056" w:rsidP="00865056">
      <w:pPr>
        <w:pStyle w:val="Textonotapie"/>
        <w:jc w:val="both"/>
        <w:rPr>
          <w:sz w:val="18"/>
          <w:szCs w:val="18"/>
        </w:rPr>
      </w:pPr>
      <w:r w:rsidRPr="00047985">
        <w:rPr>
          <w:rStyle w:val="Refdenotaalpie"/>
          <w:sz w:val="18"/>
          <w:szCs w:val="18"/>
        </w:rPr>
        <w:footnoteRef/>
      </w:r>
      <w:r w:rsidRPr="00047985">
        <w:rPr>
          <w:sz w:val="18"/>
          <w:szCs w:val="18"/>
        </w:rPr>
        <w:t xml:space="preserve"> Las cifras del ingreso de divisas y los porcentajes se encuentran expresadas en dólares de cada año.</w:t>
      </w:r>
    </w:p>
  </w:footnote>
  <w:footnote w:id="2">
    <w:p w14:paraId="5724B762" w14:textId="77777777" w:rsidR="00865056" w:rsidRPr="00047985" w:rsidRDefault="00865056" w:rsidP="00865056">
      <w:pPr>
        <w:pStyle w:val="Textonotapie"/>
        <w:jc w:val="both"/>
        <w:rPr>
          <w:sz w:val="18"/>
          <w:szCs w:val="18"/>
          <w:lang w:val="es-MX"/>
        </w:rPr>
      </w:pPr>
      <w:r w:rsidRPr="00047985">
        <w:rPr>
          <w:rStyle w:val="Refdenotaalpie"/>
          <w:sz w:val="18"/>
          <w:szCs w:val="18"/>
        </w:rPr>
        <w:footnoteRef/>
      </w:r>
      <w:r w:rsidRPr="00047985">
        <w:rPr>
          <w:sz w:val="18"/>
          <w:szCs w:val="18"/>
        </w:rPr>
        <w:t xml:space="preserve"> Las exportaciones de servicios incluyen los resultados del Turismo Receptivo estimados por el Banco Central de Chile.</w:t>
      </w:r>
    </w:p>
  </w:footnote>
  <w:footnote w:id="3">
    <w:p w14:paraId="04332B3F" w14:textId="43DBA90F" w:rsidR="00372508" w:rsidRDefault="00372508">
      <w:pPr>
        <w:pStyle w:val="Textonotapie"/>
      </w:pPr>
      <w:r>
        <w:rPr>
          <w:rStyle w:val="Refdenotaalpie"/>
        </w:rPr>
        <w:footnoteRef/>
      </w:r>
      <w:r>
        <w:t xml:space="preserve"> World </w:t>
      </w:r>
      <w:proofErr w:type="spellStart"/>
      <w:r>
        <w:t>Travel</w:t>
      </w:r>
      <w:proofErr w:type="spellEnd"/>
      <w:r>
        <w:t xml:space="preserve"> &amp; Tourism Council, 2016.</w:t>
      </w:r>
    </w:p>
  </w:footnote>
  <w:footnote w:id="4">
    <w:p w14:paraId="7AD7F0B1" w14:textId="77777777" w:rsidR="006A3B85" w:rsidRPr="00360B3F" w:rsidRDefault="006A3B85" w:rsidP="006A3B85">
      <w:pPr>
        <w:pStyle w:val="Textonotapie"/>
        <w:jc w:val="both"/>
        <w:rPr>
          <w:sz w:val="18"/>
          <w:szCs w:val="18"/>
        </w:rPr>
      </w:pPr>
      <w:r w:rsidRPr="00360B3F">
        <w:rPr>
          <w:rStyle w:val="Refdenotaalpie"/>
          <w:sz w:val="18"/>
          <w:szCs w:val="18"/>
        </w:rPr>
        <w:footnoteRef/>
      </w:r>
      <w:r w:rsidRPr="00360B3F">
        <w:rPr>
          <w:sz w:val="18"/>
          <w:szCs w:val="18"/>
        </w:rPr>
        <w:t xml:space="preserve"> Considera código CIIU3 CL del SII y el análisis del tamaño de acuerdo a las ventas registradas en el Servicio.</w:t>
      </w:r>
    </w:p>
  </w:footnote>
  <w:footnote w:id="5">
    <w:p w14:paraId="4939B6E1" w14:textId="77777777" w:rsidR="006A3B85" w:rsidRPr="00360B3F" w:rsidRDefault="006A3B85" w:rsidP="006A3B85">
      <w:pPr>
        <w:pStyle w:val="Textonotapie"/>
        <w:rPr>
          <w:sz w:val="18"/>
          <w:szCs w:val="18"/>
        </w:rPr>
      </w:pPr>
      <w:r w:rsidRPr="00360B3F">
        <w:rPr>
          <w:rStyle w:val="Refdenotaalpie"/>
          <w:sz w:val="18"/>
          <w:szCs w:val="18"/>
        </w:rPr>
        <w:footnoteRef/>
      </w:r>
      <w:r w:rsidRPr="00360B3F">
        <w:rPr>
          <w:sz w:val="18"/>
          <w:szCs w:val="18"/>
        </w:rPr>
        <w:t xml:space="preserve"> Fuente: elaboración propia en base a información del Servicio de Impuestos Internos.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5E7E" w14:textId="77777777"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14:anchorId="2FEFAFDD" wp14:editId="193A82F6">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FE4D5" w14:textId="77777777"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14:anchorId="74BECA64" wp14:editId="566752EA">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CD1F" w14:textId="77777777"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ECA64"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14:paraId="54E4CD1F" w14:textId="77777777" w:rsidR="00F6134D" w:rsidRDefault="00F6134D"/>
                </w:txbxContent>
              </v:textbox>
              <w10:wrap type="square"/>
            </v:shape>
          </w:pict>
        </mc:Fallback>
      </mc:AlternateContent>
    </w:r>
  </w:p>
  <w:p w14:paraId="3A7AB026"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0FC46385" w14:textId="77777777"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14:paraId="7C2AA441"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0AEC41A2"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249EAC9C" w14:textId="77777777" w:rsidR="00DC6620" w:rsidRDefault="00DC6620" w:rsidP="00DC6620">
    <w:pPr>
      <w:pStyle w:val="Encabezado"/>
      <w:tabs>
        <w:tab w:val="left" w:pos="7655"/>
      </w:tabs>
      <w:ind w:left="-426" w:right="-232"/>
      <w:jc w:val="center"/>
      <w:rPr>
        <w:rFonts w:ascii="Times" w:hAnsi="Times"/>
        <w:i/>
        <w:color w:val="808080"/>
        <w:sz w:val="22"/>
        <w:szCs w:val="22"/>
      </w:rPr>
    </w:pPr>
  </w:p>
  <w:p w14:paraId="76509E75" w14:textId="77777777"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A06184C"/>
    <w:multiLevelType w:val="hybridMultilevel"/>
    <w:tmpl w:val="FE8CEF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6"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A2A2A39"/>
    <w:multiLevelType w:val="hybridMultilevel"/>
    <w:tmpl w:val="D3A4E1D8"/>
    <w:lvl w:ilvl="0" w:tplc="F06AB89C">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EE452B"/>
    <w:multiLevelType w:val="hybridMultilevel"/>
    <w:tmpl w:val="51AEDAC6"/>
    <w:lvl w:ilvl="0" w:tplc="606A3BB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0C26EBE"/>
    <w:multiLevelType w:val="hybridMultilevel"/>
    <w:tmpl w:val="FE8CEF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5C6DDA"/>
    <w:multiLevelType w:val="hybridMultilevel"/>
    <w:tmpl w:val="3970D638"/>
    <w:lvl w:ilvl="0" w:tplc="C3A88BE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B1218CB"/>
    <w:multiLevelType w:val="hybridMultilevel"/>
    <w:tmpl w:val="B1602B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05C0106"/>
    <w:multiLevelType w:val="hybridMultilevel"/>
    <w:tmpl w:val="5282C4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1"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F023718"/>
    <w:multiLevelType w:val="hybridMultilevel"/>
    <w:tmpl w:val="41585A2A"/>
    <w:lvl w:ilvl="0" w:tplc="B2C4817E">
      <w:start w:val="2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
  </w:num>
  <w:num w:numId="4">
    <w:abstractNumId w:val="9"/>
  </w:num>
  <w:num w:numId="5">
    <w:abstractNumId w:val="20"/>
  </w:num>
  <w:num w:numId="6">
    <w:abstractNumId w:val="4"/>
  </w:num>
  <w:num w:numId="7">
    <w:abstractNumId w:val="18"/>
  </w:num>
  <w:num w:numId="8">
    <w:abstractNumId w:val="6"/>
  </w:num>
  <w:num w:numId="9">
    <w:abstractNumId w:val="24"/>
  </w:num>
  <w:num w:numId="10">
    <w:abstractNumId w:val="14"/>
  </w:num>
  <w:num w:numId="11">
    <w:abstractNumId w:val="16"/>
  </w:num>
  <w:num w:numId="12">
    <w:abstractNumId w:val="0"/>
  </w:num>
  <w:num w:numId="13">
    <w:abstractNumId w:val="7"/>
  </w:num>
  <w:num w:numId="14">
    <w:abstractNumId w:val="8"/>
  </w:num>
  <w:num w:numId="15">
    <w:abstractNumId w:val="1"/>
  </w:num>
  <w:num w:numId="16">
    <w:abstractNumId w:val="23"/>
  </w:num>
  <w:num w:numId="17">
    <w:abstractNumId w:val="5"/>
  </w:num>
  <w:num w:numId="18">
    <w:abstractNumId w:val="19"/>
  </w:num>
  <w:num w:numId="19">
    <w:abstractNumId w:val="10"/>
  </w:num>
  <w:num w:numId="20">
    <w:abstractNumId w:val="13"/>
  </w:num>
  <w:num w:numId="21">
    <w:abstractNumId w:val="25"/>
  </w:num>
  <w:num w:numId="22">
    <w:abstractNumId w:val="17"/>
  </w:num>
  <w:num w:numId="23">
    <w:abstractNumId w:val="11"/>
  </w:num>
  <w:num w:numId="24">
    <w:abstractNumId w:val="15"/>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06632"/>
    <w:rsid w:val="00016EC7"/>
    <w:rsid w:val="0002312C"/>
    <w:rsid w:val="00085A76"/>
    <w:rsid w:val="000A65CD"/>
    <w:rsid w:val="000B15EA"/>
    <w:rsid w:val="000B259A"/>
    <w:rsid w:val="000B4DE0"/>
    <w:rsid w:val="000F1E56"/>
    <w:rsid w:val="000F45AC"/>
    <w:rsid w:val="00165961"/>
    <w:rsid w:val="001B79C1"/>
    <w:rsid w:val="001C2050"/>
    <w:rsid w:val="001D62C5"/>
    <w:rsid w:val="001E7198"/>
    <w:rsid w:val="001F6247"/>
    <w:rsid w:val="00230C3A"/>
    <w:rsid w:val="00232CBF"/>
    <w:rsid w:val="002331FE"/>
    <w:rsid w:val="00256C1D"/>
    <w:rsid w:val="0026227B"/>
    <w:rsid w:val="00262C7F"/>
    <w:rsid w:val="00270F2E"/>
    <w:rsid w:val="00271183"/>
    <w:rsid w:val="0029472F"/>
    <w:rsid w:val="002A59EA"/>
    <w:rsid w:val="002F5094"/>
    <w:rsid w:val="003163FC"/>
    <w:rsid w:val="00341545"/>
    <w:rsid w:val="00360486"/>
    <w:rsid w:val="00372508"/>
    <w:rsid w:val="003976BC"/>
    <w:rsid w:val="003A46B9"/>
    <w:rsid w:val="003C02E2"/>
    <w:rsid w:val="003E4C5C"/>
    <w:rsid w:val="003F3F9A"/>
    <w:rsid w:val="00414EA4"/>
    <w:rsid w:val="004162E7"/>
    <w:rsid w:val="004270CC"/>
    <w:rsid w:val="004376D2"/>
    <w:rsid w:val="00440252"/>
    <w:rsid w:val="004469B7"/>
    <w:rsid w:val="00456664"/>
    <w:rsid w:val="004566C0"/>
    <w:rsid w:val="00457B2F"/>
    <w:rsid w:val="00460FFD"/>
    <w:rsid w:val="00461CC6"/>
    <w:rsid w:val="00470D55"/>
    <w:rsid w:val="00477A4C"/>
    <w:rsid w:val="004C7820"/>
    <w:rsid w:val="004F2A11"/>
    <w:rsid w:val="004F3E96"/>
    <w:rsid w:val="005138CE"/>
    <w:rsid w:val="0051590F"/>
    <w:rsid w:val="005552BC"/>
    <w:rsid w:val="00597A0E"/>
    <w:rsid w:val="005A3C40"/>
    <w:rsid w:val="005E1B0D"/>
    <w:rsid w:val="005E246D"/>
    <w:rsid w:val="005F4F44"/>
    <w:rsid w:val="00604341"/>
    <w:rsid w:val="00642DE0"/>
    <w:rsid w:val="00651C6C"/>
    <w:rsid w:val="00683AD2"/>
    <w:rsid w:val="006A3B85"/>
    <w:rsid w:val="006B2F79"/>
    <w:rsid w:val="006C3800"/>
    <w:rsid w:val="006D326D"/>
    <w:rsid w:val="006D54F1"/>
    <w:rsid w:val="006D62EF"/>
    <w:rsid w:val="006E5F67"/>
    <w:rsid w:val="00700631"/>
    <w:rsid w:val="00707374"/>
    <w:rsid w:val="00707756"/>
    <w:rsid w:val="0073248B"/>
    <w:rsid w:val="00744685"/>
    <w:rsid w:val="007866AC"/>
    <w:rsid w:val="007D4F6D"/>
    <w:rsid w:val="007D6606"/>
    <w:rsid w:val="007F1F4D"/>
    <w:rsid w:val="00821C0D"/>
    <w:rsid w:val="008356B2"/>
    <w:rsid w:val="00865056"/>
    <w:rsid w:val="00871272"/>
    <w:rsid w:val="008905F2"/>
    <w:rsid w:val="008979E1"/>
    <w:rsid w:val="00950B72"/>
    <w:rsid w:val="0097196E"/>
    <w:rsid w:val="00974E60"/>
    <w:rsid w:val="0098733E"/>
    <w:rsid w:val="009A324B"/>
    <w:rsid w:val="009A7CC9"/>
    <w:rsid w:val="009C03CE"/>
    <w:rsid w:val="009E5C95"/>
    <w:rsid w:val="009F5130"/>
    <w:rsid w:val="00A212B0"/>
    <w:rsid w:val="00A24139"/>
    <w:rsid w:val="00A40C0B"/>
    <w:rsid w:val="00A63E28"/>
    <w:rsid w:val="00A92C7A"/>
    <w:rsid w:val="00AA3E58"/>
    <w:rsid w:val="00B36CFD"/>
    <w:rsid w:val="00B474E9"/>
    <w:rsid w:val="00B517B6"/>
    <w:rsid w:val="00B74E6E"/>
    <w:rsid w:val="00B87FE3"/>
    <w:rsid w:val="00B961FB"/>
    <w:rsid w:val="00BA71F5"/>
    <w:rsid w:val="00BE19BD"/>
    <w:rsid w:val="00BF134F"/>
    <w:rsid w:val="00C33635"/>
    <w:rsid w:val="00C44237"/>
    <w:rsid w:val="00C508AC"/>
    <w:rsid w:val="00CB6557"/>
    <w:rsid w:val="00CD7953"/>
    <w:rsid w:val="00CE1D10"/>
    <w:rsid w:val="00CF500C"/>
    <w:rsid w:val="00CF5AD8"/>
    <w:rsid w:val="00D270CE"/>
    <w:rsid w:val="00D441C3"/>
    <w:rsid w:val="00D46F3A"/>
    <w:rsid w:val="00D75E9B"/>
    <w:rsid w:val="00D80876"/>
    <w:rsid w:val="00DC6620"/>
    <w:rsid w:val="00DC7AD8"/>
    <w:rsid w:val="00DD1D1A"/>
    <w:rsid w:val="00DE45C0"/>
    <w:rsid w:val="00DE6B35"/>
    <w:rsid w:val="00E00D47"/>
    <w:rsid w:val="00E200F4"/>
    <w:rsid w:val="00E327A9"/>
    <w:rsid w:val="00E41019"/>
    <w:rsid w:val="00E53B3E"/>
    <w:rsid w:val="00E5612F"/>
    <w:rsid w:val="00E73BAD"/>
    <w:rsid w:val="00E95F72"/>
    <w:rsid w:val="00E96EEC"/>
    <w:rsid w:val="00E97A0C"/>
    <w:rsid w:val="00EA0A36"/>
    <w:rsid w:val="00EC5210"/>
    <w:rsid w:val="00ED51B7"/>
    <w:rsid w:val="00EF6DAE"/>
    <w:rsid w:val="00EF713B"/>
    <w:rsid w:val="00F603A4"/>
    <w:rsid w:val="00F6134D"/>
    <w:rsid w:val="00F714A2"/>
    <w:rsid w:val="00FB4884"/>
    <w:rsid w:val="00FF6C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D66A"/>
  <w15:docId w15:val="{A17AB465-8301-4250-B7EB-43CB19DC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aliases w:val="Footnote Text Char,fn,Footnote,text"/>
    <w:basedOn w:val="Normal"/>
    <w:link w:val="TextonotapieCar"/>
    <w:uiPriority w:val="99"/>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ar,fn Car,Footnote Car,text Car"/>
    <w:basedOn w:val="Fuentedeprrafopredeter"/>
    <w:link w:val="Textonotapie"/>
    <w:uiPriority w:val="99"/>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 w:type="paragraph" w:styleId="Revisin">
    <w:name w:val="Revision"/>
    <w:hidden/>
    <w:uiPriority w:val="99"/>
    <w:semiHidden/>
    <w:rsid w:val="0029472F"/>
    <w:rPr>
      <w:sz w:val="22"/>
      <w:szCs w:val="22"/>
      <w:lang w:eastAsia="en-US"/>
    </w:rPr>
  </w:style>
  <w:style w:type="character" w:styleId="Refdecomentario">
    <w:name w:val="annotation reference"/>
    <w:basedOn w:val="Fuentedeprrafopredeter"/>
    <w:uiPriority w:val="99"/>
    <w:semiHidden/>
    <w:unhideWhenUsed/>
    <w:rsid w:val="0029472F"/>
    <w:rPr>
      <w:sz w:val="16"/>
      <w:szCs w:val="16"/>
    </w:rPr>
  </w:style>
  <w:style w:type="paragraph" w:styleId="Textocomentario">
    <w:name w:val="annotation text"/>
    <w:basedOn w:val="Normal"/>
    <w:link w:val="TextocomentarioCar"/>
    <w:uiPriority w:val="99"/>
    <w:semiHidden/>
    <w:unhideWhenUsed/>
    <w:rsid w:val="002947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472F"/>
    <w:rPr>
      <w:lang w:eastAsia="en-US"/>
    </w:rPr>
  </w:style>
  <w:style w:type="paragraph" w:styleId="Asuntodelcomentario">
    <w:name w:val="annotation subject"/>
    <w:basedOn w:val="Textocomentario"/>
    <w:next w:val="Textocomentario"/>
    <w:link w:val="AsuntodelcomentarioCar"/>
    <w:uiPriority w:val="99"/>
    <w:semiHidden/>
    <w:unhideWhenUsed/>
    <w:rsid w:val="0029472F"/>
    <w:rPr>
      <w:b/>
      <w:bCs/>
    </w:rPr>
  </w:style>
  <w:style w:type="character" w:customStyle="1" w:styleId="AsuntodelcomentarioCar">
    <w:name w:val="Asunto del comentario Car"/>
    <w:basedOn w:val="TextocomentarioCar"/>
    <w:link w:val="Asuntodelcomentario"/>
    <w:uiPriority w:val="99"/>
    <w:semiHidden/>
    <w:rsid w:val="002947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 w:id="1148471462">
      <w:bodyDiv w:val="1"/>
      <w:marLeft w:val="0"/>
      <w:marRight w:val="0"/>
      <w:marTop w:val="0"/>
      <w:marBottom w:val="0"/>
      <w:divBdr>
        <w:top w:val="none" w:sz="0" w:space="0" w:color="auto"/>
        <w:left w:val="none" w:sz="0" w:space="0" w:color="auto"/>
        <w:bottom w:val="none" w:sz="0" w:space="0" w:color="auto"/>
        <w:right w:val="none" w:sz="0" w:space="0" w:color="auto"/>
      </w:divBdr>
    </w:div>
    <w:div w:id="1456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4.emf"/><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 Id="rId22" Type="http://schemas.openxmlformats.org/officeDocument/2006/relationships/image" Target="media/image3.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D:\Vero\Estad&#237;sticas\Graficos%20llegadas%20y%20divisas\20160310%20Llegadas%20y%20divisas%202014%202015.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Vero\Estad&#237;sticas\Empleo%20INE\20160620%20Ocupados%20INE.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kunze\AppData\Local\Temp\remuneraciones_ciiu3_referencial_abril2016_Hoteles_vero.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kunze\AppData\Local\Temp\icmo_ciiu3_referencial_abril2016_Hoteles_vero.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kunze\AppData\Local\Temp\remuneraciones_ciiu3_referencial_abril2016_Hoteles_ver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ero\Estad&#237;sticas\Graficos%20llegadas%20y%20divisas\20160311%20Llegadas%20y%20divisas%202015%202016.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Vero\Dipres\20160527%20Datos%20para%20Formulario%20Dipres%20(con2016).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D:\Vero\Estad&#237;sticas\Balanza%20de%20pagos\20160502%20Exportaciones.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D:\Vero\Estad&#237;sticas\Balanza%20de%20pagos\20160502%20Exportaciones.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Vero\Estad&#237;sticas\Balanza%20de%20pagos\20160428%20Importancia%20econ&#243;mica%20Anuario%202015.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D:\Vero\Estad&#237;sticas\WTTC\20160518%20PIB%20y%20Empleo.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D:\Vero\Estad&#237;sticas\WTTC\20160524%20PIB%20y%20Empleo.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D:\Vero\Estad&#237;sticas\Empleo%20INE\20160620%20Ocupados%20IN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50503062117236E-2"/>
          <c:y val="1.6737907761529808E-2"/>
          <c:w val="0.95252050524934373"/>
          <c:h val="0.73767143971868399"/>
        </c:manualLayout>
      </c:layout>
      <c:barChart>
        <c:barDir val="col"/>
        <c:grouping val="clustered"/>
        <c:varyColors val="0"/>
        <c:ser>
          <c:idx val="0"/>
          <c:order val="0"/>
          <c:tx>
            <c:strRef>
              <c:f>'Tipologia Llegadas'!$G$263</c:f>
              <c:strCache>
                <c:ptCount val="1"/>
                <c:pt idx="0">
                  <c:v>Llegada de Turistas (Miles)</c:v>
                </c:pt>
              </c:strCache>
            </c:strRef>
          </c:tx>
          <c:spPr>
            <a:ln w="28575">
              <a:noFill/>
              <a:prstDash val="solid"/>
            </a:ln>
          </c:spPr>
          <c:invertIfNegative val="0"/>
          <c:dLbls>
            <c:dLbl>
              <c:idx val="10"/>
              <c:numFmt formatCode="#,##0" sourceLinked="0"/>
              <c:spPr>
                <a:noFill/>
                <a:ln w="15875">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dLbl>
            <c:numFmt formatCode="#,##0" sourceLinked="0"/>
            <c:spPr>
              <a:noFill/>
              <a:ln w="25400">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'Tipologia Llegadas'!$E$264:$E$271</c:f>
              <c:numCache>
                <c:formatCode>General</c:formatCode>
                <c:ptCount val="8"/>
                <c:pt idx="0">
                  <c:v>2008</c:v>
                </c:pt>
                <c:pt idx="1">
                  <c:v>2009</c:v>
                </c:pt>
                <c:pt idx="2">
                  <c:v>2010</c:v>
                </c:pt>
                <c:pt idx="3">
                  <c:v>2011</c:v>
                </c:pt>
                <c:pt idx="4">
                  <c:v>2012</c:v>
                </c:pt>
                <c:pt idx="5">
                  <c:v>2013</c:v>
                </c:pt>
                <c:pt idx="6">
                  <c:v>2014</c:v>
                </c:pt>
                <c:pt idx="7">
                  <c:v>2015</c:v>
                </c:pt>
              </c:numCache>
            </c:numRef>
          </c:cat>
          <c:val>
            <c:numRef>
              <c:f>'Tipologia Llegadas'!$G$264:$G$271</c:f>
              <c:numCache>
                <c:formatCode>#,##0_ ;\-#,##0\ </c:formatCode>
                <c:ptCount val="8"/>
                <c:pt idx="0">
                  <c:v>2710.0235019999996</c:v>
                </c:pt>
                <c:pt idx="1">
                  <c:v>2759.6952399999991</c:v>
                </c:pt>
                <c:pt idx="2">
                  <c:v>2800.636864000001</c:v>
                </c:pt>
                <c:pt idx="3">
                  <c:v>3137.2848890000018</c:v>
                </c:pt>
                <c:pt idx="4">
                  <c:v>3554.2790009999994</c:v>
                </c:pt>
                <c:pt idx="5">
                  <c:v>3576.2039999999952</c:v>
                </c:pt>
                <c:pt idx="6">
                  <c:v>3674.3910000000151</c:v>
                </c:pt>
                <c:pt idx="7">
                  <c:v>4478.3360000000002</c:v>
                </c:pt>
              </c:numCache>
            </c:numRef>
          </c:val>
        </c:ser>
        <c:dLbls>
          <c:showLegendKey val="0"/>
          <c:showVal val="0"/>
          <c:showCatName val="0"/>
          <c:showSerName val="0"/>
          <c:showPercent val="0"/>
          <c:showBubbleSize val="0"/>
        </c:dLbls>
        <c:gapWidth val="150"/>
        <c:axId val="396959440"/>
        <c:axId val="396959832"/>
      </c:barChart>
      <c:barChart>
        <c:barDir val="col"/>
        <c:grouping val="clustered"/>
        <c:varyColors val="0"/>
        <c:ser>
          <c:idx val="1"/>
          <c:order val="1"/>
          <c:tx>
            <c:strRef>
              <c:f>'Tipologia Llegadas'!$H$263</c:f>
              <c:strCache>
                <c:ptCount val="1"/>
                <c:pt idx="0">
                  <c:v>% Var Anual</c:v>
                </c:pt>
              </c:strCache>
            </c:strRef>
          </c:tx>
          <c:spPr>
            <a:solidFill>
              <a:schemeClr val="bg1">
                <a:lumMod val="75000"/>
              </a:schemeClr>
            </a:solidFill>
            <a:ln w="25400">
              <a:noFill/>
            </a:ln>
          </c:spPr>
          <c:invertIfNegative val="0"/>
          <c:dLbls>
            <c:dLbl>
              <c:idx val="4"/>
              <c:layout>
                <c:manualLayout>
                  <c:x val="5.6377730796334929E-3"/>
                  <c:y val="0"/>
                </c:manualLayout>
              </c:layout>
              <c:showLegendKey val="0"/>
              <c:showVal val="1"/>
              <c:showCatName val="0"/>
              <c:showSerName val="0"/>
              <c:showPercent val="0"/>
              <c:showBubbleSize val="0"/>
              <c:extLst>
                <c:ext xmlns:c15="http://schemas.microsoft.com/office/drawing/2012/chart" uri="{CE6537A1-D6FC-4f65-9D91-7224C49458BB}"/>
              </c:extLst>
            </c:dLbl>
            <c:numFmt formatCode="0.0%_ ;[Red]\-0.0%" sourceLinked="0"/>
            <c:spPr>
              <a:noFill/>
              <a:ln w="25400">
                <a:noFill/>
              </a:ln>
            </c:spPr>
            <c:txPr>
              <a:bodyPr/>
              <a:lstStyle/>
              <a:p>
                <a:pPr>
                  <a:defRPr b="1">
                    <a:solidFill>
                      <a:srgbClr val="0070C0"/>
                    </a:solidFill>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'Tipologia Llegadas'!$E$264:$E$271</c:f>
              <c:numCache>
                <c:formatCode>General</c:formatCode>
                <c:ptCount val="8"/>
                <c:pt idx="0">
                  <c:v>2008</c:v>
                </c:pt>
                <c:pt idx="1">
                  <c:v>2009</c:v>
                </c:pt>
                <c:pt idx="2">
                  <c:v>2010</c:v>
                </c:pt>
                <c:pt idx="3">
                  <c:v>2011</c:v>
                </c:pt>
                <c:pt idx="4">
                  <c:v>2012</c:v>
                </c:pt>
                <c:pt idx="5">
                  <c:v>2013</c:v>
                </c:pt>
                <c:pt idx="6">
                  <c:v>2014</c:v>
                </c:pt>
                <c:pt idx="7">
                  <c:v>2015</c:v>
                </c:pt>
              </c:numCache>
            </c:numRef>
          </c:cat>
          <c:val>
            <c:numRef>
              <c:f>'Tipologia Llegadas'!$H$264:$H$271</c:f>
              <c:numCache>
                <c:formatCode>0.0%</c:formatCode>
                <c:ptCount val="8"/>
                <c:pt idx="1">
                  <c:v>1.8328895658410893E-2</c:v>
                </c:pt>
                <c:pt idx="2">
                  <c:v>1.4835559885953975E-2</c:v>
                </c:pt>
                <c:pt idx="3">
                  <c:v>0.12020409690643885</c:v>
                </c:pt>
                <c:pt idx="4">
                  <c:v>0.13291560274365555</c:v>
                </c:pt>
                <c:pt idx="5">
                  <c:v>6.1686206946125477E-3</c:v>
                </c:pt>
                <c:pt idx="6">
                  <c:v>2.7455648503278862E-2</c:v>
                </c:pt>
                <c:pt idx="7">
                  <c:v>0.21879680197343765</c:v>
                </c:pt>
              </c:numCache>
            </c:numRef>
          </c:val>
        </c:ser>
        <c:dLbls>
          <c:showLegendKey val="0"/>
          <c:showVal val="0"/>
          <c:showCatName val="0"/>
          <c:showSerName val="0"/>
          <c:showPercent val="0"/>
          <c:showBubbleSize val="0"/>
        </c:dLbls>
        <c:gapWidth val="150"/>
        <c:axId val="396960224"/>
        <c:axId val="396960616"/>
      </c:barChart>
      <c:catAx>
        <c:axId val="396959440"/>
        <c:scaling>
          <c:orientation val="minMax"/>
        </c:scaling>
        <c:delete val="0"/>
        <c:axPos val="b"/>
        <c:title>
          <c:tx>
            <c:rich>
              <a:bodyPr/>
              <a:lstStyle/>
              <a:p>
                <a:pPr>
                  <a:defRPr b="1"/>
                </a:pPr>
                <a:r>
                  <a:rPr lang="es-ES" b="1"/>
                  <a:t>Años</a:t>
                </a:r>
              </a:p>
            </c:rich>
          </c:tx>
          <c:layout>
            <c:manualLayout>
              <c:xMode val="edge"/>
              <c:yMode val="edge"/>
              <c:x val="0.46596183289588811"/>
              <c:y val="0.83032985741647192"/>
            </c:manualLayout>
          </c:layout>
          <c:overlay val="0"/>
          <c:spPr>
            <a:noFill/>
            <a:ln w="25400">
              <a:noFill/>
            </a:ln>
          </c:spPr>
        </c:title>
        <c:numFmt formatCode="General" sourceLinked="1"/>
        <c:majorTickMark val="none"/>
        <c:minorTickMark val="none"/>
        <c:tickLblPos val="nextTo"/>
        <c:spPr>
          <a:ln w="3175">
            <a:noFill/>
            <a:prstDash val="solid"/>
          </a:ln>
        </c:spPr>
        <c:txPr>
          <a:bodyPr rot="0" vert="horz"/>
          <a:lstStyle/>
          <a:p>
            <a:pPr>
              <a:defRPr>
                <a:solidFill>
                  <a:sysClr val="windowText" lastClr="000000"/>
                </a:solidFill>
              </a:defRPr>
            </a:pPr>
            <a:endParaRPr lang="es-CL"/>
          </a:p>
        </c:txPr>
        <c:crossAx val="396959832"/>
        <c:crosses val="autoZero"/>
        <c:auto val="1"/>
        <c:lblAlgn val="ctr"/>
        <c:lblOffset val="100"/>
        <c:tickLblSkip val="1"/>
        <c:tickMarkSkip val="1"/>
        <c:noMultiLvlLbl val="0"/>
      </c:catAx>
      <c:valAx>
        <c:axId val="396959832"/>
        <c:scaling>
          <c:orientation val="minMax"/>
          <c:max val="6000"/>
          <c:min val="0"/>
        </c:scaling>
        <c:delete val="0"/>
        <c:axPos val="l"/>
        <c:numFmt formatCode="#,##0" sourceLinked="0"/>
        <c:majorTickMark val="none"/>
        <c:minorTickMark val="none"/>
        <c:tickLblPos val="none"/>
        <c:spPr>
          <a:ln w="3175">
            <a:noFill/>
            <a:prstDash val="solid"/>
          </a:ln>
        </c:spPr>
        <c:txPr>
          <a:bodyPr rot="0" vert="horz"/>
          <a:lstStyle/>
          <a:p>
            <a:pPr>
              <a:defRPr sz="700"/>
            </a:pPr>
            <a:endParaRPr lang="es-CL"/>
          </a:p>
        </c:txPr>
        <c:crossAx val="396959440"/>
        <c:crosses val="autoZero"/>
        <c:crossBetween val="between"/>
      </c:valAx>
      <c:catAx>
        <c:axId val="396960224"/>
        <c:scaling>
          <c:orientation val="minMax"/>
        </c:scaling>
        <c:delete val="1"/>
        <c:axPos val="b"/>
        <c:numFmt formatCode="General" sourceLinked="1"/>
        <c:majorTickMark val="out"/>
        <c:minorTickMark val="none"/>
        <c:tickLblPos val="none"/>
        <c:crossAx val="396960616"/>
        <c:crosses val="autoZero"/>
        <c:auto val="1"/>
        <c:lblAlgn val="ctr"/>
        <c:lblOffset val="100"/>
        <c:noMultiLvlLbl val="0"/>
      </c:catAx>
      <c:valAx>
        <c:axId val="396960616"/>
        <c:scaling>
          <c:orientation val="minMax"/>
          <c:max val="0.30000000000000004"/>
          <c:min val="-1"/>
        </c:scaling>
        <c:delete val="0"/>
        <c:axPos val="r"/>
        <c:numFmt formatCode="0.0%" sourceLinked="1"/>
        <c:majorTickMark val="none"/>
        <c:minorTickMark val="none"/>
        <c:tickLblPos val="none"/>
        <c:spPr>
          <a:ln w="9525">
            <a:noFill/>
          </a:ln>
        </c:spPr>
        <c:crossAx val="396960224"/>
        <c:crosses val="max"/>
        <c:crossBetween val="between"/>
        <c:majorUnit val="0.5"/>
      </c:valAx>
      <c:spPr>
        <a:solidFill>
          <a:srgbClr val="FFFFFF"/>
        </a:solidFill>
        <a:ln w="25400">
          <a:noFill/>
        </a:ln>
      </c:spPr>
    </c:plotArea>
    <c:legend>
      <c:legendPos val="r"/>
      <c:layout>
        <c:manualLayout>
          <c:xMode val="edge"/>
          <c:yMode val="edge"/>
          <c:x val="7.1111111111111111E-2"/>
          <c:y val="0.89538847467075466"/>
          <c:w val="0.83701677290338705"/>
          <c:h val="7.7290781130234812E-2"/>
        </c:manualLayout>
      </c:layout>
      <c:overlay val="0"/>
      <c:spPr>
        <a:noFill/>
        <a:ln w="25400">
          <a:noFill/>
        </a:ln>
      </c:spPr>
      <c:txPr>
        <a:bodyPr/>
        <a:lstStyle/>
        <a:p>
          <a:pPr>
            <a:defRPr sz="700" b="0" kern="0" baseline="0"/>
          </a:pPr>
          <a:endParaRPr lang="es-CL"/>
        </a:p>
      </c:txPr>
    </c:legend>
    <c:plotVisOnly val="1"/>
    <c:dispBlanksAs val="gap"/>
    <c:showDLblsOverMax val="0"/>
  </c:chart>
  <c:spPr>
    <a:ln w="9525">
      <a:noFill/>
    </a:ln>
  </c:spPr>
  <c:txPr>
    <a:bodyPr/>
    <a:lstStyle/>
    <a:p>
      <a:pPr>
        <a:defRPr sz="740" b="0" i="0" u="none" strike="noStrike" baseline="0">
          <a:solidFill>
            <a:srgbClr val="000000"/>
          </a:solidFill>
          <a:latin typeface="Verdana" pitchFamily="34" charset="0"/>
          <a:ea typeface="Verdana" pitchFamily="34" charset="0"/>
          <a:cs typeface="Verdana" pitchFamily="34" charset="0"/>
        </a:defRPr>
      </a:pPr>
      <a:endParaRPr lang="es-C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Participación categoría Laboral</a:t>
            </a:r>
          </a:p>
          <a:p>
            <a:pPr>
              <a:defRPr/>
            </a:pPr>
            <a:r>
              <a:rPr lang="es-CL"/>
              <a:t>Hoteles y Restaurantes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0"/>
          <c:order val="0"/>
          <c:tx>
            <c:strRef>
              <c:f>Hoja3!$A$15</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Hoja3!$B$15:$BW$15</c:f>
            </c:numRef>
          </c:val>
          <c:smooth val="0"/>
        </c:ser>
        <c:ser>
          <c:idx val="1"/>
          <c:order val="1"/>
          <c:tx>
            <c:strRef>
              <c:f>Hoja3!$A$16</c:f>
              <c:strCache>
                <c:ptCount val="1"/>
                <c:pt idx="0">
                  <c:v>Empleador</c:v>
                </c:pt>
              </c:strCache>
            </c:strRef>
          </c:tx>
          <c:spPr>
            <a:ln w="28575" cap="rnd">
              <a:solidFill>
                <a:schemeClr val="accent2"/>
              </a:solidFill>
              <a:round/>
            </a:ln>
            <a:effectLst/>
          </c:spPr>
          <c:marker>
            <c:symbol val="none"/>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Hoja3!$B$16:$BW$16</c:f>
              <c:numCache>
                <c:formatCode>0%</c:formatCode>
                <c:ptCount val="74"/>
                <c:pt idx="0">
                  <c:v>8.5328243888874847E-2</c:v>
                </c:pt>
                <c:pt idx="1">
                  <c:v>8.4560697176638472E-2</c:v>
                </c:pt>
                <c:pt idx="2">
                  <c:v>8.1244363124803112E-2</c:v>
                </c:pt>
                <c:pt idx="3">
                  <c:v>8.4572408661546417E-2</c:v>
                </c:pt>
                <c:pt idx="4">
                  <c:v>9.4954425972075235E-2</c:v>
                </c:pt>
                <c:pt idx="5">
                  <c:v>9.777076880736349E-2</c:v>
                </c:pt>
                <c:pt idx="6">
                  <c:v>9.5603427696512214E-2</c:v>
                </c:pt>
                <c:pt idx="7">
                  <c:v>9.5747731672149949E-2</c:v>
                </c:pt>
                <c:pt idx="8">
                  <c:v>9.5513844776752233E-2</c:v>
                </c:pt>
                <c:pt idx="9">
                  <c:v>9.8051691782311393E-2</c:v>
                </c:pt>
                <c:pt idx="10">
                  <c:v>0.12028875438233105</c:v>
                </c:pt>
                <c:pt idx="11">
                  <c:v>0.12429878836710805</c:v>
                </c:pt>
                <c:pt idx="12">
                  <c:v>0.1270570078132536</c:v>
                </c:pt>
                <c:pt idx="13">
                  <c:v>0.12296488577323492</c:v>
                </c:pt>
                <c:pt idx="14">
                  <c:v>0.12687225729849416</c:v>
                </c:pt>
                <c:pt idx="15">
                  <c:v>0.12908429530308535</c:v>
                </c:pt>
                <c:pt idx="16">
                  <c:v>0.10847113908985562</c:v>
                </c:pt>
                <c:pt idx="17">
                  <c:v>0.1025956204943855</c:v>
                </c:pt>
                <c:pt idx="18">
                  <c:v>0.10545830552158128</c:v>
                </c:pt>
                <c:pt idx="19">
                  <c:v>9.9443109069706562E-2</c:v>
                </c:pt>
                <c:pt idx="20">
                  <c:v>9.5167397183623992E-2</c:v>
                </c:pt>
                <c:pt idx="21">
                  <c:v>8.4197045066448886E-2</c:v>
                </c:pt>
                <c:pt idx="22">
                  <c:v>9.2643337051919405E-2</c:v>
                </c:pt>
                <c:pt idx="23">
                  <c:v>9.5812757707518209E-2</c:v>
                </c:pt>
                <c:pt idx="24">
                  <c:v>9.2620989784110347E-2</c:v>
                </c:pt>
                <c:pt idx="25">
                  <c:v>8.5490726072972867E-2</c:v>
                </c:pt>
                <c:pt idx="26">
                  <c:v>8.4503244940011935E-2</c:v>
                </c:pt>
                <c:pt idx="27">
                  <c:v>7.6015435058996716E-2</c:v>
                </c:pt>
                <c:pt idx="28">
                  <c:v>7.4839817916344586E-2</c:v>
                </c:pt>
                <c:pt idx="29">
                  <c:v>7.0710664726750069E-2</c:v>
                </c:pt>
                <c:pt idx="30">
                  <c:v>7.5541441066222403E-2</c:v>
                </c:pt>
                <c:pt idx="31">
                  <c:v>7.2013239701212151E-2</c:v>
                </c:pt>
                <c:pt idx="32">
                  <c:v>8.5484386388851988E-2</c:v>
                </c:pt>
                <c:pt idx="33">
                  <c:v>0.11114793984379132</c:v>
                </c:pt>
                <c:pt idx="34">
                  <c:v>9.7499796665311098E-2</c:v>
                </c:pt>
                <c:pt idx="35">
                  <c:v>8.7843656210822241E-2</c:v>
                </c:pt>
                <c:pt idx="36">
                  <c:v>6.7397443716687433E-2</c:v>
                </c:pt>
                <c:pt idx="37">
                  <c:v>8.7227895124095969E-2</c:v>
                </c:pt>
                <c:pt idx="38">
                  <c:v>9.0909758803347215E-2</c:v>
                </c:pt>
                <c:pt idx="39">
                  <c:v>8.8301501558845016E-2</c:v>
                </c:pt>
                <c:pt idx="40">
                  <c:v>7.4621514944020417E-2</c:v>
                </c:pt>
                <c:pt idx="41">
                  <c:v>7.4890341526356971E-2</c:v>
                </c:pt>
                <c:pt idx="42">
                  <c:v>7.3393403667438933E-2</c:v>
                </c:pt>
                <c:pt idx="43">
                  <c:v>7.285797479904893E-2</c:v>
                </c:pt>
                <c:pt idx="44">
                  <c:v>7.6570490469549043E-2</c:v>
                </c:pt>
                <c:pt idx="45">
                  <c:v>8.4726062054956253E-2</c:v>
                </c:pt>
                <c:pt idx="46">
                  <c:v>8.5380299138952176E-2</c:v>
                </c:pt>
                <c:pt idx="47">
                  <c:v>8.4594710777306736E-2</c:v>
                </c:pt>
                <c:pt idx="48">
                  <c:v>8.2323763610904044E-2</c:v>
                </c:pt>
                <c:pt idx="49">
                  <c:v>8.5985999683120401E-2</c:v>
                </c:pt>
                <c:pt idx="50">
                  <c:v>7.6853941106202237E-2</c:v>
                </c:pt>
                <c:pt idx="51">
                  <c:v>8.2232178524152294E-2</c:v>
                </c:pt>
                <c:pt idx="52">
                  <c:v>9.344518741181522E-2</c:v>
                </c:pt>
                <c:pt idx="53">
                  <c:v>9.2840498569038046E-2</c:v>
                </c:pt>
                <c:pt idx="54">
                  <c:v>9.0214208433187726E-2</c:v>
                </c:pt>
                <c:pt idx="55">
                  <c:v>8.6493903972296657E-2</c:v>
                </c:pt>
                <c:pt idx="56">
                  <c:v>7.9906434199058143E-2</c:v>
                </c:pt>
                <c:pt idx="57">
                  <c:v>7.9800124834803102E-2</c:v>
                </c:pt>
                <c:pt idx="58">
                  <c:v>8.0151872304914898E-2</c:v>
                </c:pt>
                <c:pt idx="59">
                  <c:v>9.8337510707827022E-2</c:v>
                </c:pt>
                <c:pt idx="60">
                  <c:v>9.560334726961911E-2</c:v>
                </c:pt>
                <c:pt idx="61">
                  <c:v>9.1518550503998874E-2</c:v>
                </c:pt>
                <c:pt idx="62">
                  <c:v>7.4600956856767861E-2</c:v>
                </c:pt>
                <c:pt idx="63">
                  <c:v>7.6271551414748992E-2</c:v>
                </c:pt>
                <c:pt idx="64">
                  <c:v>9.0651234706690148E-2</c:v>
                </c:pt>
                <c:pt idx="65">
                  <c:v>8.7635853163037597E-2</c:v>
                </c:pt>
                <c:pt idx="66">
                  <c:v>8.007495996893782E-2</c:v>
                </c:pt>
                <c:pt idx="67">
                  <c:v>8.3087625468684465E-2</c:v>
                </c:pt>
                <c:pt idx="68">
                  <c:v>8.4962900909526087E-2</c:v>
                </c:pt>
                <c:pt idx="69">
                  <c:v>8.1131848646049345E-2</c:v>
                </c:pt>
                <c:pt idx="70">
                  <c:v>7.0541007219467725E-2</c:v>
                </c:pt>
                <c:pt idx="71">
                  <c:v>7.3427876477532961E-2</c:v>
                </c:pt>
                <c:pt idx="72">
                  <c:v>7.3468694434779269E-2</c:v>
                </c:pt>
                <c:pt idx="73">
                  <c:v>8.3311535075506357E-2</c:v>
                </c:pt>
              </c:numCache>
            </c:numRef>
          </c:val>
          <c:smooth val="0"/>
        </c:ser>
        <c:ser>
          <c:idx val="2"/>
          <c:order val="2"/>
          <c:tx>
            <c:strRef>
              <c:f>Hoja3!$A$17</c:f>
              <c:strCache>
                <c:ptCount val="1"/>
                <c:pt idx="0">
                  <c:v>Cuenta propia</c:v>
                </c:pt>
              </c:strCache>
            </c:strRef>
          </c:tx>
          <c:spPr>
            <a:ln w="28575" cap="rnd">
              <a:solidFill>
                <a:schemeClr val="accent3"/>
              </a:solidFill>
              <a:round/>
            </a:ln>
            <a:effectLst/>
          </c:spPr>
          <c:marker>
            <c:symbol val="none"/>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Hoja3!$B$17:$BW$17</c:f>
              <c:numCache>
                <c:formatCode>0%</c:formatCode>
                <c:ptCount val="74"/>
                <c:pt idx="0">
                  <c:v>0.10992441669405192</c:v>
                </c:pt>
                <c:pt idx="1">
                  <c:v>0.12423555193150546</c:v>
                </c:pt>
                <c:pt idx="2">
                  <c:v>0.1322599716052526</c:v>
                </c:pt>
                <c:pt idx="3">
                  <c:v>0.14073121208681724</c:v>
                </c:pt>
                <c:pt idx="4">
                  <c:v>0.1290922746048544</c:v>
                </c:pt>
                <c:pt idx="5">
                  <c:v>0.14593753958927627</c:v>
                </c:pt>
                <c:pt idx="6">
                  <c:v>0.15709864093973544</c:v>
                </c:pt>
                <c:pt idx="7">
                  <c:v>0.14894888196729147</c:v>
                </c:pt>
                <c:pt idx="8">
                  <c:v>0.1288606571214328</c:v>
                </c:pt>
                <c:pt idx="9">
                  <c:v>0.10548973493665381</c:v>
                </c:pt>
                <c:pt idx="10">
                  <c:v>0.11207260285532362</c:v>
                </c:pt>
                <c:pt idx="11">
                  <c:v>0.12064260630292342</c:v>
                </c:pt>
                <c:pt idx="12">
                  <c:v>0.13809973955821356</c:v>
                </c:pt>
                <c:pt idx="13">
                  <c:v>0.14756575287884585</c:v>
                </c:pt>
                <c:pt idx="14">
                  <c:v>0.14302160466590186</c:v>
                </c:pt>
                <c:pt idx="15">
                  <c:v>0.13958177774405947</c:v>
                </c:pt>
                <c:pt idx="16">
                  <c:v>0.14057753139778884</c:v>
                </c:pt>
                <c:pt idx="17">
                  <c:v>0.14172899634719083</c:v>
                </c:pt>
                <c:pt idx="18">
                  <c:v>0.14284115856364035</c:v>
                </c:pt>
                <c:pt idx="19">
                  <c:v>0.135732248109982</c:v>
                </c:pt>
                <c:pt idx="20">
                  <c:v>0.14148652429357456</c:v>
                </c:pt>
                <c:pt idx="21">
                  <c:v>0.14313980250946617</c:v>
                </c:pt>
                <c:pt idx="22">
                  <c:v>0.14238574373526555</c:v>
                </c:pt>
                <c:pt idx="23">
                  <c:v>0.14157318366687505</c:v>
                </c:pt>
                <c:pt idx="24">
                  <c:v>0.1315393407591989</c:v>
                </c:pt>
                <c:pt idx="25">
                  <c:v>0.14061363376204244</c:v>
                </c:pt>
                <c:pt idx="26">
                  <c:v>0.12017640148670249</c:v>
                </c:pt>
                <c:pt idx="27">
                  <c:v>0.14704198544227096</c:v>
                </c:pt>
                <c:pt idx="28">
                  <c:v>0.14471184402645365</c:v>
                </c:pt>
                <c:pt idx="29">
                  <c:v>0.17156284237707892</c:v>
                </c:pt>
                <c:pt idx="30">
                  <c:v>0.16027002637789811</c:v>
                </c:pt>
                <c:pt idx="31">
                  <c:v>0.14619582233752293</c:v>
                </c:pt>
                <c:pt idx="32">
                  <c:v>0.13314925657164811</c:v>
                </c:pt>
                <c:pt idx="33">
                  <c:v>0.11637017577883954</c:v>
                </c:pt>
                <c:pt idx="34">
                  <c:v>0.13589589263928425</c:v>
                </c:pt>
                <c:pt idx="35">
                  <c:v>0.14981257993845531</c:v>
                </c:pt>
                <c:pt idx="36">
                  <c:v>0.16755389674100396</c:v>
                </c:pt>
                <c:pt idx="37">
                  <c:v>0.15867774527573891</c:v>
                </c:pt>
                <c:pt idx="38">
                  <c:v>0.15685863951275777</c:v>
                </c:pt>
                <c:pt idx="39">
                  <c:v>0.15545118373072558</c:v>
                </c:pt>
                <c:pt idx="40">
                  <c:v>0.15516542924847906</c:v>
                </c:pt>
                <c:pt idx="41">
                  <c:v>0.16494562496987406</c:v>
                </c:pt>
                <c:pt idx="42">
                  <c:v>0.19548765930228668</c:v>
                </c:pt>
                <c:pt idx="43">
                  <c:v>0.19185216233359176</c:v>
                </c:pt>
                <c:pt idx="44">
                  <c:v>0.16621266271501628</c:v>
                </c:pt>
                <c:pt idx="45">
                  <c:v>0.14063565629972941</c:v>
                </c:pt>
                <c:pt idx="46">
                  <c:v>0.16566386171072126</c:v>
                </c:pt>
                <c:pt idx="47">
                  <c:v>0.17585774248678043</c:v>
                </c:pt>
                <c:pt idx="48">
                  <c:v>0.18419915983363869</c:v>
                </c:pt>
                <c:pt idx="49">
                  <c:v>0.1667002751091074</c:v>
                </c:pt>
                <c:pt idx="50">
                  <c:v>0.16262348546616356</c:v>
                </c:pt>
                <c:pt idx="51">
                  <c:v>0.14947638032725249</c:v>
                </c:pt>
                <c:pt idx="52">
                  <c:v>0.15212640328814184</c:v>
                </c:pt>
                <c:pt idx="53">
                  <c:v>0.15821903883145927</c:v>
                </c:pt>
                <c:pt idx="54">
                  <c:v>0.1696422966570782</c:v>
                </c:pt>
                <c:pt idx="55">
                  <c:v>0.17957238000129322</c:v>
                </c:pt>
                <c:pt idx="56">
                  <c:v>0.16213478849512708</c:v>
                </c:pt>
                <c:pt idx="57">
                  <c:v>0.14515358516488305</c:v>
                </c:pt>
                <c:pt idx="58">
                  <c:v>0.12649819302544393</c:v>
                </c:pt>
                <c:pt idx="59">
                  <c:v>0.14000444176528443</c:v>
                </c:pt>
                <c:pt idx="60">
                  <c:v>0.14401966873043212</c:v>
                </c:pt>
                <c:pt idx="61">
                  <c:v>0.15286202411958069</c:v>
                </c:pt>
                <c:pt idx="62">
                  <c:v>0.15340051088812678</c:v>
                </c:pt>
                <c:pt idx="63">
                  <c:v>0.15428372500323001</c:v>
                </c:pt>
                <c:pt idx="64">
                  <c:v>0.15341909462913833</c:v>
                </c:pt>
                <c:pt idx="65">
                  <c:v>0.17142935980436455</c:v>
                </c:pt>
                <c:pt idx="66">
                  <c:v>0.18109121947932344</c:v>
                </c:pt>
                <c:pt idx="67">
                  <c:v>0.17502388753464876</c:v>
                </c:pt>
                <c:pt idx="68">
                  <c:v>0.18879248444231689</c:v>
                </c:pt>
                <c:pt idx="69">
                  <c:v>0.18980554804195593</c:v>
                </c:pt>
                <c:pt idx="70">
                  <c:v>0.19896338844592995</c:v>
                </c:pt>
                <c:pt idx="71">
                  <c:v>0.1795200773793437</c:v>
                </c:pt>
                <c:pt idx="72">
                  <c:v>0.19916492921898415</c:v>
                </c:pt>
                <c:pt idx="73">
                  <c:v>0.19602399777235868</c:v>
                </c:pt>
              </c:numCache>
            </c:numRef>
          </c:val>
          <c:smooth val="0"/>
        </c:ser>
        <c:ser>
          <c:idx val="3"/>
          <c:order val="3"/>
          <c:tx>
            <c:strRef>
              <c:f>Hoja3!$A$18</c:f>
              <c:strCache>
                <c:ptCount val="1"/>
                <c:pt idx="0">
                  <c:v>Asalariado sector privado</c:v>
                </c:pt>
              </c:strCache>
            </c:strRef>
          </c:tx>
          <c:spPr>
            <a:ln w="28575" cap="rnd">
              <a:solidFill>
                <a:schemeClr val="accent4"/>
              </a:solidFill>
              <a:round/>
            </a:ln>
            <a:effectLst/>
          </c:spPr>
          <c:marker>
            <c:symbol val="none"/>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Hoja3!$B$18:$BW$18</c:f>
              <c:numCache>
                <c:formatCode>0%</c:formatCode>
                <c:ptCount val="74"/>
                <c:pt idx="0">
                  <c:v>0.77461513182840824</c:v>
                </c:pt>
                <c:pt idx="1">
                  <c:v>0.76237981177589775</c:v>
                </c:pt>
                <c:pt idx="2">
                  <c:v>0.75496368665662639</c:v>
                </c:pt>
                <c:pt idx="3">
                  <c:v>0.735277178733726</c:v>
                </c:pt>
                <c:pt idx="4">
                  <c:v>0.73933192230225653</c:v>
                </c:pt>
                <c:pt idx="5">
                  <c:v>0.72673024249387319</c:v>
                </c:pt>
                <c:pt idx="6">
                  <c:v>0.7157374404227822</c:v>
                </c:pt>
                <c:pt idx="7">
                  <c:v>0.71926903682696985</c:v>
                </c:pt>
                <c:pt idx="8">
                  <c:v>0.73789342682270909</c:v>
                </c:pt>
                <c:pt idx="9">
                  <c:v>0.75916365305777267</c:v>
                </c:pt>
                <c:pt idx="10">
                  <c:v>0.73099199864982012</c:v>
                </c:pt>
                <c:pt idx="11">
                  <c:v>0.71765305036561822</c:v>
                </c:pt>
                <c:pt idx="12">
                  <c:v>0.69594675412366158</c:v>
                </c:pt>
                <c:pt idx="13">
                  <c:v>0.68975529317085293</c:v>
                </c:pt>
                <c:pt idx="14">
                  <c:v>0.69583791285930896</c:v>
                </c:pt>
                <c:pt idx="15">
                  <c:v>0.70249280269604419</c:v>
                </c:pt>
                <c:pt idx="16">
                  <c:v>0.72629114598014344</c:v>
                </c:pt>
                <c:pt idx="17">
                  <c:v>0.72699406660095478</c:v>
                </c:pt>
                <c:pt idx="18">
                  <c:v>0.72002021737536803</c:v>
                </c:pt>
                <c:pt idx="19">
                  <c:v>0.7340647484867957</c:v>
                </c:pt>
                <c:pt idx="20">
                  <c:v>0.73280611769094472</c:v>
                </c:pt>
                <c:pt idx="21">
                  <c:v>0.74361125547553641</c:v>
                </c:pt>
                <c:pt idx="22">
                  <c:v>0.73698404618267288</c:v>
                </c:pt>
                <c:pt idx="23">
                  <c:v>0.73823589325728256</c:v>
                </c:pt>
                <c:pt idx="24">
                  <c:v>0.75427200249895288</c:v>
                </c:pt>
                <c:pt idx="25">
                  <c:v>0.75232355906104953</c:v>
                </c:pt>
                <c:pt idx="26">
                  <c:v>0.76855970882200009</c:v>
                </c:pt>
                <c:pt idx="27">
                  <c:v>0.75168216864065907</c:v>
                </c:pt>
                <c:pt idx="28">
                  <c:v>0.74963153826333417</c:v>
                </c:pt>
                <c:pt idx="29">
                  <c:v>0.72784567094458208</c:v>
                </c:pt>
                <c:pt idx="30">
                  <c:v>0.73416631958906009</c:v>
                </c:pt>
                <c:pt idx="31">
                  <c:v>0.75</c:v>
                </c:pt>
                <c:pt idx="32">
                  <c:v>0.75128093728344347</c:v>
                </c:pt>
                <c:pt idx="33">
                  <c:v>0.74577125830850333</c:v>
                </c:pt>
                <c:pt idx="34">
                  <c:v>0.74302074013826758</c:v>
                </c:pt>
                <c:pt idx="35">
                  <c:v>0.73404396773335701</c:v>
                </c:pt>
                <c:pt idx="36">
                  <c:v>0.72234228739625039</c:v>
                </c:pt>
                <c:pt idx="37">
                  <c:v>0.71859375841214579</c:v>
                </c:pt>
                <c:pt idx="38">
                  <c:v>0.71456069589238358</c:v>
                </c:pt>
                <c:pt idx="39">
                  <c:v>0.71854860328220416</c:v>
                </c:pt>
                <c:pt idx="40">
                  <c:v>0.7300898756367834</c:v>
                </c:pt>
                <c:pt idx="41">
                  <c:v>0.71621165661232256</c:v>
                </c:pt>
                <c:pt idx="42">
                  <c:v>0.6767395419234159</c:v>
                </c:pt>
                <c:pt idx="43">
                  <c:v>0.67783288141754428</c:v>
                </c:pt>
                <c:pt idx="44">
                  <c:v>0.70198817410506742</c:v>
                </c:pt>
                <c:pt idx="45">
                  <c:v>0.73097907790236349</c:v>
                </c:pt>
                <c:pt idx="46">
                  <c:v>0.70524779123303349</c:v>
                </c:pt>
                <c:pt idx="47">
                  <c:v>0.69226817274725738</c:v>
                </c:pt>
                <c:pt idx="48">
                  <c:v>0.68924294462286562</c:v>
                </c:pt>
                <c:pt idx="49">
                  <c:v>0.7021979921356245</c:v>
                </c:pt>
                <c:pt idx="50">
                  <c:v>0.71587250421888926</c:v>
                </c:pt>
                <c:pt idx="51">
                  <c:v>0.72911983331897323</c:v>
                </c:pt>
                <c:pt idx="52">
                  <c:v>0.70601113428624007</c:v>
                </c:pt>
                <c:pt idx="53">
                  <c:v>0.7096202868179472</c:v>
                </c:pt>
                <c:pt idx="54">
                  <c:v>0.70093533866792712</c:v>
                </c:pt>
                <c:pt idx="55">
                  <c:v>0.69926862036511506</c:v>
                </c:pt>
                <c:pt idx="56">
                  <c:v>0.72129724366725578</c:v>
                </c:pt>
                <c:pt idx="57">
                  <c:v>0.73395192813978705</c:v>
                </c:pt>
                <c:pt idx="58">
                  <c:v>0.75273872178576295</c:v>
                </c:pt>
                <c:pt idx="59">
                  <c:v>0.72312573368444433</c:v>
                </c:pt>
                <c:pt idx="60">
                  <c:v>0.72356854283647165</c:v>
                </c:pt>
                <c:pt idx="61">
                  <c:v>0.72613045600548887</c:v>
                </c:pt>
                <c:pt idx="62">
                  <c:v>0.7426471625950859</c:v>
                </c:pt>
                <c:pt idx="63">
                  <c:v>0.73748546490762146</c:v>
                </c:pt>
                <c:pt idx="64">
                  <c:v>0.71222461665115866</c:v>
                </c:pt>
                <c:pt idx="65">
                  <c:v>0.69405057135071935</c:v>
                </c:pt>
                <c:pt idx="66">
                  <c:v>0.69410492470309626</c:v>
                </c:pt>
                <c:pt idx="67">
                  <c:v>0.70428651166310852</c:v>
                </c:pt>
                <c:pt idx="68">
                  <c:v>0.68691957874581144</c:v>
                </c:pt>
                <c:pt idx="69">
                  <c:v>0.69583145493342946</c:v>
                </c:pt>
                <c:pt idx="70">
                  <c:v>0.69810587578775762</c:v>
                </c:pt>
                <c:pt idx="71">
                  <c:v>0.72445841571483438</c:v>
                </c:pt>
                <c:pt idx="72">
                  <c:v>0.69879369532519264</c:v>
                </c:pt>
                <c:pt idx="73">
                  <c:v>0.69390745725431957</c:v>
                </c:pt>
              </c:numCache>
            </c:numRef>
          </c:val>
          <c:smooth val="0"/>
        </c:ser>
        <c:dLbls>
          <c:showLegendKey val="0"/>
          <c:showVal val="0"/>
          <c:showCatName val="0"/>
          <c:showSerName val="0"/>
          <c:showPercent val="0"/>
          <c:showBubbleSize val="0"/>
        </c:dLbls>
        <c:smooth val="0"/>
        <c:axId val="400438744"/>
        <c:axId val="400439136"/>
      </c:lineChart>
      <c:catAx>
        <c:axId val="400438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39136"/>
        <c:crosses val="autoZero"/>
        <c:auto val="1"/>
        <c:lblAlgn val="ctr"/>
        <c:lblOffset val="100"/>
        <c:noMultiLvlLbl val="0"/>
      </c:catAx>
      <c:valAx>
        <c:axId val="400439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38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IR-Nominal Hoteles</a:t>
            </a:r>
            <a:r>
              <a:rPr lang="es-CL" baseline="0"/>
              <a:t> y Restaurantes</a:t>
            </a:r>
            <a:endParaRPr lang="es-CL"/>
          </a:p>
        </c:rich>
      </c:tx>
      <c:overlay val="0"/>
      <c:spPr>
        <a:noFill/>
        <a:ln>
          <a:noFill/>
        </a:ln>
        <a:effectLst/>
      </c:spPr>
    </c:title>
    <c:autoTitleDeleted val="0"/>
    <c:plotArea>
      <c:layout/>
      <c:lineChart>
        <c:grouping val="standard"/>
        <c:varyColors val="0"/>
        <c:ser>
          <c:idx val="0"/>
          <c:order val="0"/>
          <c:tx>
            <c:strRef>
              <c:f>[remuneraciones_ciiu3_referencial_abril2016_Hoteles_vero.xls]HyR!$C$2</c:f>
              <c:strCache>
                <c:ptCount val="1"/>
                <c:pt idx="0">
                  <c:v>Índice</c:v>
                </c:pt>
              </c:strCache>
            </c:strRef>
          </c:tx>
          <c:spPr>
            <a:ln w="28575" cap="rnd">
              <a:solidFill>
                <a:schemeClr val="accent1"/>
              </a:solidFill>
              <a:round/>
            </a:ln>
            <a:effectLst/>
          </c:spPr>
          <c:marker>
            <c:symbol val="none"/>
          </c:marker>
          <c:cat>
            <c:multiLvlStrRef>
              <c:f>[remuneraciones_ciiu3_referencial_abril2016_Hoteles_vero.xls]HyR!$A$15:$B$90</c:f>
              <c:multiLvlStrCache>
                <c:ptCount val="76"/>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lvl>
                <c:lvl>
                  <c:pt idx="0">
                    <c:v>2010</c:v>
                  </c:pt>
                  <c:pt idx="12">
                    <c:v>2011</c:v>
                  </c:pt>
                  <c:pt idx="24">
                    <c:v>2012</c:v>
                  </c:pt>
                  <c:pt idx="36">
                    <c:v>2013</c:v>
                  </c:pt>
                  <c:pt idx="48">
                    <c:v>2014</c:v>
                  </c:pt>
                  <c:pt idx="60">
                    <c:v>2015</c:v>
                  </c:pt>
                  <c:pt idx="72">
                    <c:v>2016</c:v>
                  </c:pt>
                </c:lvl>
              </c:multiLvlStrCache>
            </c:multiLvlStrRef>
          </c:cat>
          <c:val>
            <c:numRef>
              <c:f>[remuneraciones_ciiu3_referencial_abril2016_Hoteles_vero.xls]HyR!$C$15:$C$90</c:f>
              <c:numCache>
                <c:formatCode>[$-1010C0A]#,##0.00;\-#,##0.00</c:formatCode>
                <c:ptCount val="76"/>
                <c:pt idx="0">
                  <c:v>100.36</c:v>
                </c:pt>
                <c:pt idx="1">
                  <c:v>102.02</c:v>
                </c:pt>
                <c:pt idx="2">
                  <c:v>102.23</c:v>
                </c:pt>
                <c:pt idx="3">
                  <c:v>101.9</c:v>
                </c:pt>
                <c:pt idx="4">
                  <c:v>103.51</c:v>
                </c:pt>
                <c:pt idx="5">
                  <c:v>103.08</c:v>
                </c:pt>
                <c:pt idx="6">
                  <c:v>105.14</c:v>
                </c:pt>
                <c:pt idx="7">
                  <c:v>104.72</c:v>
                </c:pt>
                <c:pt idx="8">
                  <c:v>105.04</c:v>
                </c:pt>
                <c:pt idx="9">
                  <c:v>104.67</c:v>
                </c:pt>
                <c:pt idx="10">
                  <c:v>105.2</c:v>
                </c:pt>
                <c:pt idx="11">
                  <c:v>105.97</c:v>
                </c:pt>
                <c:pt idx="12">
                  <c:v>105.23</c:v>
                </c:pt>
                <c:pt idx="13">
                  <c:v>105.78</c:v>
                </c:pt>
                <c:pt idx="14">
                  <c:v>106.45</c:v>
                </c:pt>
                <c:pt idx="15">
                  <c:v>105.97</c:v>
                </c:pt>
                <c:pt idx="16">
                  <c:v>106.34</c:v>
                </c:pt>
                <c:pt idx="17">
                  <c:v>106.87</c:v>
                </c:pt>
                <c:pt idx="18">
                  <c:v>109.28</c:v>
                </c:pt>
                <c:pt idx="19">
                  <c:v>109.64</c:v>
                </c:pt>
                <c:pt idx="20">
                  <c:v>110.26</c:v>
                </c:pt>
                <c:pt idx="21">
                  <c:v>110.1</c:v>
                </c:pt>
                <c:pt idx="22">
                  <c:v>110.98</c:v>
                </c:pt>
                <c:pt idx="23">
                  <c:v>112.35</c:v>
                </c:pt>
                <c:pt idx="24">
                  <c:v>111.8</c:v>
                </c:pt>
                <c:pt idx="25">
                  <c:v>111.16</c:v>
                </c:pt>
                <c:pt idx="26">
                  <c:v>112.11</c:v>
                </c:pt>
                <c:pt idx="27">
                  <c:v>112.65</c:v>
                </c:pt>
                <c:pt idx="28">
                  <c:v>112.93</c:v>
                </c:pt>
                <c:pt idx="29">
                  <c:v>113.21</c:v>
                </c:pt>
                <c:pt idx="30">
                  <c:v>115.15</c:v>
                </c:pt>
                <c:pt idx="31">
                  <c:v>116.53</c:v>
                </c:pt>
                <c:pt idx="32">
                  <c:v>116.82</c:v>
                </c:pt>
                <c:pt idx="33">
                  <c:v>116.26</c:v>
                </c:pt>
                <c:pt idx="34">
                  <c:v>117.4</c:v>
                </c:pt>
                <c:pt idx="35">
                  <c:v>118.86</c:v>
                </c:pt>
                <c:pt idx="36">
                  <c:v>118.5</c:v>
                </c:pt>
                <c:pt idx="37">
                  <c:v>118.43</c:v>
                </c:pt>
                <c:pt idx="38">
                  <c:v>118.93</c:v>
                </c:pt>
                <c:pt idx="39">
                  <c:v>118.66</c:v>
                </c:pt>
                <c:pt idx="40">
                  <c:v>118.78</c:v>
                </c:pt>
                <c:pt idx="41">
                  <c:v>118.66</c:v>
                </c:pt>
                <c:pt idx="42">
                  <c:v>119.58</c:v>
                </c:pt>
                <c:pt idx="43">
                  <c:v>123.04</c:v>
                </c:pt>
                <c:pt idx="44">
                  <c:v>123.71</c:v>
                </c:pt>
                <c:pt idx="45">
                  <c:v>124.24</c:v>
                </c:pt>
                <c:pt idx="46">
                  <c:v>125.48</c:v>
                </c:pt>
                <c:pt idx="47">
                  <c:v>125.6</c:v>
                </c:pt>
                <c:pt idx="48">
                  <c:v>126.62</c:v>
                </c:pt>
                <c:pt idx="49">
                  <c:v>126.38</c:v>
                </c:pt>
                <c:pt idx="50">
                  <c:v>127.39</c:v>
                </c:pt>
                <c:pt idx="51">
                  <c:v>126.44</c:v>
                </c:pt>
                <c:pt idx="52">
                  <c:v>127.52</c:v>
                </c:pt>
                <c:pt idx="53">
                  <c:v>126.98</c:v>
                </c:pt>
                <c:pt idx="54">
                  <c:v>129.79</c:v>
                </c:pt>
                <c:pt idx="55">
                  <c:v>131.30000000000001</c:v>
                </c:pt>
                <c:pt idx="56">
                  <c:v>132.43</c:v>
                </c:pt>
                <c:pt idx="57">
                  <c:v>132.37</c:v>
                </c:pt>
                <c:pt idx="58">
                  <c:v>133.83000000000001</c:v>
                </c:pt>
                <c:pt idx="59">
                  <c:v>134.71</c:v>
                </c:pt>
                <c:pt idx="60">
                  <c:v>135.30000000000001</c:v>
                </c:pt>
                <c:pt idx="61">
                  <c:v>135.58000000000001</c:v>
                </c:pt>
                <c:pt idx="62">
                  <c:v>136.91999999999999</c:v>
                </c:pt>
                <c:pt idx="63">
                  <c:v>135.91999999999999</c:v>
                </c:pt>
                <c:pt idx="64">
                  <c:v>135.86000000000001</c:v>
                </c:pt>
                <c:pt idx="65">
                  <c:v>136.65</c:v>
                </c:pt>
                <c:pt idx="66">
                  <c:v>140.05000000000001</c:v>
                </c:pt>
                <c:pt idx="67">
                  <c:v>139.87</c:v>
                </c:pt>
                <c:pt idx="68">
                  <c:v>141.04</c:v>
                </c:pt>
                <c:pt idx="69">
                  <c:v>141.62</c:v>
                </c:pt>
                <c:pt idx="70">
                  <c:v>142.91</c:v>
                </c:pt>
                <c:pt idx="71">
                  <c:v>145.56</c:v>
                </c:pt>
                <c:pt idx="72">
                  <c:v>147.6</c:v>
                </c:pt>
                <c:pt idx="73">
                  <c:v>148.56</c:v>
                </c:pt>
                <c:pt idx="74">
                  <c:v>148.87</c:v>
                </c:pt>
                <c:pt idx="75">
                  <c:v>147.44</c:v>
                </c:pt>
              </c:numCache>
            </c:numRef>
          </c:val>
          <c:smooth val="0"/>
        </c:ser>
        <c:dLbls>
          <c:showLegendKey val="0"/>
          <c:showVal val="0"/>
          <c:showCatName val="0"/>
          <c:showSerName val="0"/>
          <c:showPercent val="0"/>
          <c:showBubbleSize val="0"/>
        </c:dLbls>
        <c:marker val="1"/>
        <c:smooth val="0"/>
        <c:axId val="400456480"/>
        <c:axId val="400456872"/>
      </c:lineChart>
      <c:lineChart>
        <c:grouping val="standard"/>
        <c:varyColors val="0"/>
        <c:ser>
          <c:idx val="1"/>
          <c:order val="1"/>
          <c:tx>
            <c:strRef>
              <c:f>[remuneraciones_ciiu3_referencial_abril2016_Hoteles_vero.xls]HyR!$F$2</c:f>
              <c:strCache>
                <c:ptCount val="1"/>
                <c:pt idx="0">
                  <c:v>Variación en 12 Meses</c:v>
                </c:pt>
              </c:strCache>
            </c:strRef>
          </c:tx>
          <c:spPr>
            <a:ln w="28575" cap="rnd">
              <a:solidFill>
                <a:schemeClr val="accent2"/>
              </a:solidFill>
              <a:round/>
            </a:ln>
            <a:effectLst/>
          </c:spPr>
          <c:marker>
            <c:symbol val="none"/>
          </c:marker>
          <c:cat>
            <c:multiLvlStrRef>
              <c:f>[remuneraciones_ciiu3_referencial_abril2016_Hoteles_vero.xls]HyR!$A$15:$B$90</c:f>
              <c:multiLvlStrCache>
                <c:ptCount val="76"/>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lvl>
                <c:lvl>
                  <c:pt idx="0">
                    <c:v>2010</c:v>
                  </c:pt>
                  <c:pt idx="12">
                    <c:v>2011</c:v>
                  </c:pt>
                  <c:pt idx="24">
                    <c:v>2012</c:v>
                  </c:pt>
                  <c:pt idx="36">
                    <c:v>2013</c:v>
                  </c:pt>
                  <c:pt idx="48">
                    <c:v>2014</c:v>
                  </c:pt>
                  <c:pt idx="60">
                    <c:v>2015</c:v>
                  </c:pt>
                  <c:pt idx="72">
                    <c:v>2016</c:v>
                  </c:pt>
                </c:lvl>
              </c:multiLvlStrCache>
            </c:multiLvlStrRef>
          </c:cat>
          <c:val>
            <c:numRef>
              <c:f>[remuneraciones_ciiu3_referencial_abril2016_Hoteles_vero.xls]HyR!$F$15:$F$90</c:f>
              <c:numCache>
                <c:formatCode>General</c:formatCode>
                <c:ptCount val="76"/>
                <c:pt idx="0">
                  <c:v>-0.3</c:v>
                </c:pt>
                <c:pt idx="1">
                  <c:v>1.6</c:v>
                </c:pt>
                <c:pt idx="2">
                  <c:v>3</c:v>
                </c:pt>
                <c:pt idx="3">
                  <c:v>2.7</c:v>
                </c:pt>
                <c:pt idx="4">
                  <c:v>4.0999999999999996</c:v>
                </c:pt>
                <c:pt idx="5">
                  <c:v>4.7</c:v>
                </c:pt>
                <c:pt idx="6">
                  <c:v>5.7</c:v>
                </c:pt>
                <c:pt idx="7">
                  <c:v>5</c:v>
                </c:pt>
                <c:pt idx="8">
                  <c:v>4.5</c:v>
                </c:pt>
                <c:pt idx="9">
                  <c:v>4</c:v>
                </c:pt>
                <c:pt idx="10">
                  <c:v>4.3</c:v>
                </c:pt>
                <c:pt idx="11">
                  <c:v>4.5</c:v>
                </c:pt>
                <c:pt idx="12">
                  <c:v>4.8</c:v>
                </c:pt>
                <c:pt idx="13">
                  <c:v>3.7</c:v>
                </c:pt>
                <c:pt idx="14">
                  <c:v>4.0999999999999996</c:v>
                </c:pt>
                <c:pt idx="15">
                  <c:v>4</c:v>
                </c:pt>
                <c:pt idx="16">
                  <c:v>2.7</c:v>
                </c:pt>
                <c:pt idx="17">
                  <c:v>3.7</c:v>
                </c:pt>
                <c:pt idx="18">
                  <c:v>3.9</c:v>
                </c:pt>
                <c:pt idx="19">
                  <c:v>4.7</c:v>
                </c:pt>
                <c:pt idx="20">
                  <c:v>5</c:v>
                </c:pt>
                <c:pt idx="21">
                  <c:v>5.2</c:v>
                </c:pt>
                <c:pt idx="22">
                  <c:v>5.5</c:v>
                </c:pt>
                <c:pt idx="23">
                  <c:v>6</c:v>
                </c:pt>
                <c:pt idx="24">
                  <c:v>6.2</c:v>
                </c:pt>
                <c:pt idx="25">
                  <c:v>5.0999999999999996</c:v>
                </c:pt>
                <c:pt idx="26">
                  <c:v>5.3</c:v>
                </c:pt>
                <c:pt idx="27">
                  <c:v>6.3</c:v>
                </c:pt>
                <c:pt idx="28">
                  <c:v>6.2</c:v>
                </c:pt>
                <c:pt idx="29">
                  <c:v>5.9</c:v>
                </c:pt>
                <c:pt idx="30">
                  <c:v>5.4</c:v>
                </c:pt>
                <c:pt idx="31">
                  <c:v>6.3</c:v>
                </c:pt>
                <c:pt idx="32">
                  <c:v>6</c:v>
                </c:pt>
                <c:pt idx="33">
                  <c:v>5.6</c:v>
                </c:pt>
                <c:pt idx="34">
                  <c:v>5.8</c:v>
                </c:pt>
                <c:pt idx="35">
                  <c:v>5.8</c:v>
                </c:pt>
                <c:pt idx="36">
                  <c:v>6</c:v>
                </c:pt>
                <c:pt idx="37">
                  <c:v>6.5</c:v>
                </c:pt>
                <c:pt idx="38">
                  <c:v>6.1</c:v>
                </c:pt>
                <c:pt idx="39">
                  <c:v>5.3</c:v>
                </c:pt>
                <c:pt idx="40">
                  <c:v>5.2</c:v>
                </c:pt>
                <c:pt idx="41">
                  <c:v>4.8</c:v>
                </c:pt>
                <c:pt idx="42">
                  <c:v>3.8</c:v>
                </c:pt>
                <c:pt idx="43">
                  <c:v>5.6</c:v>
                </c:pt>
                <c:pt idx="44">
                  <c:v>5.9</c:v>
                </c:pt>
                <c:pt idx="45">
                  <c:v>6.9</c:v>
                </c:pt>
                <c:pt idx="46">
                  <c:v>6.9</c:v>
                </c:pt>
                <c:pt idx="47">
                  <c:v>5.7</c:v>
                </c:pt>
                <c:pt idx="48">
                  <c:v>6.9</c:v>
                </c:pt>
                <c:pt idx="49">
                  <c:v>6.7</c:v>
                </c:pt>
                <c:pt idx="50">
                  <c:v>7.1</c:v>
                </c:pt>
                <c:pt idx="51">
                  <c:v>6.6</c:v>
                </c:pt>
                <c:pt idx="52">
                  <c:v>7.4</c:v>
                </c:pt>
                <c:pt idx="53">
                  <c:v>7</c:v>
                </c:pt>
                <c:pt idx="54">
                  <c:v>8.5</c:v>
                </c:pt>
                <c:pt idx="55">
                  <c:v>6.7</c:v>
                </c:pt>
                <c:pt idx="56">
                  <c:v>7.1</c:v>
                </c:pt>
                <c:pt idx="57">
                  <c:v>6.5</c:v>
                </c:pt>
                <c:pt idx="58">
                  <c:v>6.7</c:v>
                </c:pt>
                <c:pt idx="59">
                  <c:v>7.3</c:v>
                </c:pt>
                <c:pt idx="60">
                  <c:v>6.9</c:v>
                </c:pt>
                <c:pt idx="61">
                  <c:v>7.3</c:v>
                </c:pt>
                <c:pt idx="62">
                  <c:v>7.5</c:v>
                </c:pt>
                <c:pt idx="63">
                  <c:v>7.5</c:v>
                </c:pt>
                <c:pt idx="64">
                  <c:v>6.5</c:v>
                </c:pt>
                <c:pt idx="65">
                  <c:v>7.6</c:v>
                </c:pt>
                <c:pt idx="66">
                  <c:v>7.9</c:v>
                </c:pt>
                <c:pt idx="67">
                  <c:v>6.5</c:v>
                </c:pt>
                <c:pt idx="68">
                  <c:v>6.5</c:v>
                </c:pt>
                <c:pt idx="69">
                  <c:v>7</c:v>
                </c:pt>
                <c:pt idx="70">
                  <c:v>6.8</c:v>
                </c:pt>
                <c:pt idx="71">
                  <c:v>8</c:v>
                </c:pt>
                <c:pt idx="72">
                  <c:v>9.1</c:v>
                </c:pt>
                <c:pt idx="73">
                  <c:v>9.6</c:v>
                </c:pt>
                <c:pt idx="74">
                  <c:v>8.6999999999999993</c:v>
                </c:pt>
                <c:pt idx="75">
                  <c:v>8.5</c:v>
                </c:pt>
              </c:numCache>
            </c:numRef>
          </c:val>
          <c:smooth val="0"/>
        </c:ser>
        <c:dLbls>
          <c:showLegendKey val="0"/>
          <c:showVal val="0"/>
          <c:showCatName val="0"/>
          <c:showSerName val="0"/>
          <c:showPercent val="0"/>
          <c:showBubbleSize val="0"/>
        </c:dLbls>
        <c:marker val="1"/>
        <c:smooth val="0"/>
        <c:axId val="400457264"/>
        <c:axId val="400457656"/>
      </c:lineChart>
      <c:catAx>
        <c:axId val="40045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56872"/>
        <c:crosses val="autoZero"/>
        <c:auto val="1"/>
        <c:lblAlgn val="ctr"/>
        <c:lblOffset val="100"/>
        <c:noMultiLvlLbl val="0"/>
      </c:catAx>
      <c:valAx>
        <c:axId val="400456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Índice</a:t>
                </a:r>
              </a:p>
            </c:rich>
          </c:tx>
          <c:overlay val="0"/>
          <c:spPr>
            <a:noFill/>
            <a:ln>
              <a:noFill/>
            </a:ln>
            <a:effectLst/>
          </c:spPr>
        </c:title>
        <c:numFmt formatCode="[$-1010C0A]#,##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56480"/>
        <c:crosses val="autoZero"/>
        <c:crossBetween val="between"/>
      </c:valAx>
      <c:catAx>
        <c:axId val="400457264"/>
        <c:scaling>
          <c:orientation val="minMax"/>
        </c:scaling>
        <c:delete val="1"/>
        <c:axPos val="b"/>
        <c:numFmt formatCode="General" sourceLinked="1"/>
        <c:majorTickMark val="out"/>
        <c:minorTickMark val="none"/>
        <c:tickLblPos val="nextTo"/>
        <c:crossAx val="400457656"/>
        <c:crosses val="autoZero"/>
        <c:auto val="1"/>
        <c:lblAlgn val="ctr"/>
        <c:lblOffset val="100"/>
        <c:noMultiLvlLbl val="0"/>
      </c:catAx>
      <c:valAx>
        <c:axId val="4004576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Var Anual</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57264"/>
        <c:crosses val="max"/>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noFill/>
    <a:ln w="9525" cap="flat" cmpd="sng" algn="ctr">
      <a:noFill/>
      <a:round/>
    </a:ln>
    <a:effectLst/>
  </c:spPr>
  <c:txPr>
    <a:bodyPr/>
    <a:lstStyle/>
    <a:p>
      <a:pPr>
        <a:defRPr/>
      </a:pPr>
      <a:endParaRPr lang="es-C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ICMO- Nominal</a:t>
            </a:r>
            <a:r>
              <a:rPr lang="es-CL" baseline="0"/>
              <a:t> Hoteles y Restaurantes </a:t>
            </a:r>
            <a:endParaRPr lang="es-CL"/>
          </a:p>
        </c:rich>
      </c:tx>
      <c:overlay val="0"/>
      <c:spPr>
        <a:noFill/>
        <a:ln>
          <a:noFill/>
        </a:ln>
        <a:effectLst/>
      </c:spPr>
    </c:title>
    <c:autoTitleDeleted val="0"/>
    <c:plotArea>
      <c:layout/>
      <c:lineChart>
        <c:grouping val="standard"/>
        <c:varyColors val="0"/>
        <c:ser>
          <c:idx val="0"/>
          <c:order val="0"/>
          <c:tx>
            <c:strRef>
              <c:f>[icmo_ciiu3_referencial_abril2016_Hoteles_vero.xls]HyR!$C$2</c:f>
              <c:strCache>
                <c:ptCount val="1"/>
                <c:pt idx="0">
                  <c:v>Índice</c:v>
                </c:pt>
              </c:strCache>
            </c:strRef>
          </c:tx>
          <c:spPr>
            <a:ln w="28575" cap="rnd">
              <a:solidFill>
                <a:schemeClr val="accent1"/>
              </a:solidFill>
              <a:round/>
            </a:ln>
            <a:effectLst/>
          </c:spPr>
          <c:marker>
            <c:symbol val="none"/>
          </c:marker>
          <c:cat>
            <c:multiLvlStrRef>
              <c:f>[icmo_ciiu3_referencial_abril2016_Hoteles_vero.xls]HyR!$A$15:$B$90</c:f>
              <c:multiLvlStrCache>
                <c:ptCount val="76"/>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lvl>
                <c:lvl>
                  <c:pt idx="0">
                    <c:v>2010</c:v>
                  </c:pt>
                  <c:pt idx="12">
                    <c:v>2011</c:v>
                  </c:pt>
                  <c:pt idx="24">
                    <c:v>2012</c:v>
                  </c:pt>
                  <c:pt idx="36">
                    <c:v>2013</c:v>
                  </c:pt>
                  <c:pt idx="48">
                    <c:v>2014</c:v>
                  </c:pt>
                  <c:pt idx="60">
                    <c:v>2015</c:v>
                  </c:pt>
                  <c:pt idx="72">
                    <c:v>2016</c:v>
                  </c:pt>
                </c:lvl>
              </c:multiLvlStrCache>
            </c:multiLvlStrRef>
          </c:cat>
          <c:val>
            <c:numRef>
              <c:f>[icmo_ciiu3_referencial_abril2016_Hoteles_vero.xls]HyR!$C$15:$C$90</c:f>
              <c:numCache>
                <c:formatCode>[$-1010C0A]#,##0.00;\-#,##0.00</c:formatCode>
                <c:ptCount val="76"/>
                <c:pt idx="0">
                  <c:v>100.72</c:v>
                </c:pt>
                <c:pt idx="1">
                  <c:v>102.32</c:v>
                </c:pt>
                <c:pt idx="2">
                  <c:v>102.77</c:v>
                </c:pt>
                <c:pt idx="3">
                  <c:v>102.71</c:v>
                </c:pt>
                <c:pt idx="4">
                  <c:v>104.14</c:v>
                </c:pt>
                <c:pt idx="5">
                  <c:v>103.93</c:v>
                </c:pt>
                <c:pt idx="6">
                  <c:v>106.16</c:v>
                </c:pt>
                <c:pt idx="7">
                  <c:v>105.65</c:v>
                </c:pt>
                <c:pt idx="8">
                  <c:v>106.81</c:v>
                </c:pt>
                <c:pt idx="9">
                  <c:v>106.23</c:v>
                </c:pt>
                <c:pt idx="10">
                  <c:v>106.62</c:v>
                </c:pt>
                <c:pt idx="11">
                  <c:v>107.49</c:v>
                </c:pt>
                <c:pt idx="12">
                  <c:v>106.9</c:v>
                </c:pt>
                <c:pt idx="13">
                  <c:v>107.29</c:v>
                </c:pt>
                <c:pt idx="14">
                  <c:v>108.02</c:v>
                </c:pt>
                <c:pt idx="15">
                  <c:v>107.87</c:v>
                </c:pt>
                <c:pt idx="16">
                  <c:v>108.16</c:v>
                </c:pt>
                <c:pt idx="17">
                  <c:v>108.7</c:v>
                </c:pt>
                <c:pt idx="18">
                  <c:v>111.66</c:v>
                </c:pt>
                <c:pt idx="19">
                  <c:v>111.65</c:v>
                </c:pt>
                <c:pt idx="20">
                  <c:v>112.79</c:v>
                </c:pt>
                <c:pt idx="21">
                  <c:v>112.72</c:v>
                </c:pt>
                <c:pt idx="22">
                  <c:v>113.36</c:v>
                </c:pt>
                <c:pt idx="23">
                  <c:v>115</c:v>
                </c:pt>
                <c:pt idx="24">
                  <c:v>114.35</c:v>
                </c:pt>
                <c:pt idx="25">
                  <c:v>113.66</c:v>
                </c:pt>
                <c:pt idx="26">
                  <c:v>114.77</c:v>
                </c:pt>
                <c:pt idx="27">
                  <c:v>115.63</c:v>
                </c:pt>
                <c:pt idx="28">
                  <c:v>115.61</c:v>
                </c:pt>
                <c:pt idx="29">
                  <c:v>116.04</c:v>
                </c:pt>
                <c:pt idx="30">
                  <c:v>117.92</c:v>
                </c:pt>
                <c:pt idx="31">
                  <c:v>119.31</c:v>
                </c:pt>
                <c:pt idx="32">
                  <c:v>120.06</c:v>
                </c:pt>
                <c:pt idx="33">
                  <c:v>119.41</c:v>
                </c:pt>
                <c:pt idx="34">
                  <c:v>120.39</c:v>
                </c:pt>
                <c:pt idx="35">
                  <c:v>121.74</c:v>
                </c:pt>
                <c:pt idx="36">
                  <c:v>121.52</c:v>
                </c:pt>
                <c:pt idx="37">
                  <c:v>121.03</c:v>
                </c:pt>
                <c:pt idx="38">
                  <c:v>121.64</c:v>
                </c:pt>
                <c:pt idx="39">
                  <c:v>121.5</c:v>
                </c:pt>
                <c:pt idx="40">
                  <c:v>121.72</c:v>
                </c:pt>
                <c:pt idx="41">
                  <c:v>121.53</c:v>
                </c:pt>
                <c:pt idx="42">
                  <c:v>122.67</c:v>
                </c:pt>
                <c:pt idx="43">
                  <c:v>126.25</c:v>
                </c:pt>
                <c:pt idx="44">
                  <c:v>127.55</c:v>
                </c:pt>
                <c:pt idx="45">
                  <c:v>127.82</c:v>
                </c:pt>
                <c:pt idx="46">
                  <c:v>129.24</c:v>
                </c:pt>
                <c:pt idx="47">
                  <c:v>129.57</c:v>
                </c:pt>
                <c:pt idx="48">
                  <c:v>130.36000000000001</c:v>
                </c:pt>
                <c:pt idx="49">
                  <c:v>130.07</c:v>
                </c:pt>
                <c:pt idx="50">
                  <c:v>131.55000000000001</c:v>
                </c:pt>
                <c:pt idx="51">
                  <c:v>130.76</c:v>
                </c:pt>
                <c:pt idx="52">
                  <c:v>131.69</c:v>
                </c:pt>
                <c:pt idx="53">
                  <c:v>131.22</c:v>
                </c:pt>
                <c:pt idx="54">
                  <c:v>134.08000000000001</c:v>
                </c:pt>
                <c:pt idx="55">
                  <c:v>135.66</c:v>
                </c:pt>
                <c:pt idx="56">
                  <c:v>137.28</c:v>
                </c:pt>
                <c:pt idx="57">
                  <c:v>136.75</c:v>
                </c:pt>
                <c:pt idx="58">
                  <c:v>138.32</c:v>
                </c:pt>
                <c:pt idx="59">
                  <c:v>139.5</c:v>
                </c:pt>
                <c:pt idx="60">
                  <c:v>139.4</c:v>
                </c:pt>
                <c:pt idx="61">
                  <c:v>139.19999999999999</c:v>
                </c:pt>
                <c:pt idx="62">
                  <c:v>141.22</c:v>
                </c:pt>
                <c:pt idx="63">
                  <c:v>140.66</c:v>
                </c:pt>
                <c:pt idx="64">
                  <c:v>140.21</c:v>
                </c:pt>
                <c:pt idx="65">
                  <c:v>141.66</c:v>
                </c:pt>
                <c:pt idx="66">
                  <c:v>145.86000000000001</c:v>
                </c:pt>
                <c:pt idx="67">
                  <c:v>145.93</c:v>
                </c:pt>
                <c:pt idx="68">
                  <c:v>148.12</c:v>
                </c:pt>
                <c:pt idx="69">
                  <c:v>148.49</c:v>
                </c:pt>
                <c:pt idx="70">
                  <c:v>149.77000000000001</c:v>
                </c:pt>
                <c:pt idx="71">
                  <c:v>152.94999999999999</c:v>
                </c:pt>
                <c:pt idx="72">
                  <c:v>152.13</c:v>
                </c:pt>
                <c:pt idx="73">
                  <c:v>153.25</c:v>
                </c:pt>
                <c:pt idx="74">
                  <c:v>154.63</c:v>
                </c:pt>
                <c:pt idx="75">
                  <c:v>153.69999999999999</c:v>
                </c:pt>
              </c:numCache>
            </c:numRef>
          </c:val>
          <c:smooth val="0"/>
        </c:ser>
        <c:dLbls>
          <c:showLegendKey val="0"/>
          <c:showVal val="0"/>
          <c:showCatName val="0"/>
          <c:showSerName val="0"/>
          <c:showPercent val="0"/>
          <c:showBubbleSize val="0"/>
        </c:dLbls>
        <c:marker val="1"/>
        <c:smooth val="0"/>
        <c:axId val="400458440"/>
        <c:axId val="400458832"/>
      </c:lineChart>
      <c:lineChart>
        <c:grouping val="standard"/>
        <c:varyColors val="0"/>
        <c:ser>
          <c:idx val="1"/>
          <c:order val="1"/>
          <c:tx>
            <c:strRef>
              <c:f>[icmo_ciiu3_referencial_abril2016_Hoteles_vero.xls]HyR!$F$2</c:f>
              <c:strCache>
                <c:ptCount val="1"/>
                <c:pt idx="0">
                  <c:v>Variación en 12 Meses</c:v>
                </c:pt>
              </c:strCache>
            </c:strRef>
          </c:tx>
          <c:spPr>
            <a:ln w="28575" cap="rnd">
              <a:solidFill>
                <a:schemeClr val="accent2"/>
              </a:solidFill>
              <a:round/>
            </a:ln>
            <a:effectLst/>
          </c:spPr>
          <c:marker>
            <c:symbol val="none"/>
          </c:marker>
          <c:cat>
            <c:multiLvlStrRef>
              <c:f>[icmo_ciiu3_referencial_abril2016_Hoteles_vero.xls]HyR!$A$15:$B$90</c:f>
              <c:multiLvlStrCache>
                <c:ptCount val="76"/>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lvl>
                <c:lvl>
                  <c:pt idx="0">
                    <c:v>2010</c:v>
                  </c:pt>
                  <c:pt idx="12">
                    <c:v>2011</c:v>
                  </c:pt>
                  <c:pt idx="24">
                    <c:v>2012</c:v>
                  </c:pt>
                  <c:pt idx="36">
                    <c:v>2013</c:v>
                  </c:pt>
                  <c:pt idx="48">
                    <c:v>2014</c:v>
                  </c:pt>
                  <c:pt idx="60">
                    <c:v>2015</c:v>
                  </c:pt>
                  <c:pt idx="72">
                    <c:v>2016</c:v>
                  </c:pt>
                </c:lvl>
              </c:multiLvlStrCache>
            </c:multiLvlStrRef>
          </c:cat>
          <c:val>
            <c:numRef>
              <c:f>[icmo_ciiu3_referencial_abril2016_Hoteles_vero.xls]HyR!$F$15:$F$90</c:f>
              <c:numCache>
                <c:formatCode>General</c:formatCode>
                <c:ptCount val="76"/>
                <c:pt idx="0">
                  <c:v>0.3</c:v>
                </c:pt>
                <c:pt idx="1">
                  <c:v>2.2000000000000002</c:v>
                </c:pt>
                <c:pt idx="2">
                  <c:v>3.9</c:v>
                </c:pt>
                <c:pt idx="3">
                  <c:v>3.8</c:v>
                </c:pt>
                <c:pt idx="4">
                  <c:v>5.0999999999999996</c:v>
                </c:pt>
                <c:pt idx="5">
                  <c:v>5.8</c:v>
                </c:pt>
                <c:pt idx="6">
                  <c:v>6.5</c:v>
                </c:pt>
                <c:pt idx="7">
                  <c:v>5.8</c:v>
                </c:pt>
                <c:pt idx="8">
                  <c:v>5.8</c:v>
                </c:pt>
                <c:pt idx="9">
                  <c:v>5.3</c:v>
                </c:pt>
                <c:pt idx="10">
                  <c:v>5.6</c:v>
                </c:pt>
                <c:pt idx="11">
                  <c:v>5.4</c:v>
                </c:pt>
                <c:pt idx="12">
                  <c:v>6.1</c:v>
                </c:pt>
                <c:pt idx="13">
                  <c:v>4.9000000000000004</c:v>
                </c:pt>
                <c:pt idx="14">
                  <c:v>5.0999999999999996</c:v>
                </c:pt>
                <c:pt idx="15">
                  <c:v>5</c:v>
                </c:pt>
                <c:pt idx="16">
                  <c:v>3.9</c:v>
                </c:pt>
                <c:pt idx="17">
                  <c:v>4.5999999999999996</c:v>
                </c:pt>
                <c:pt idx="18">
                  <c:v>5.2</c:v>
                </c:pt>
                <c:pt idx="19">
                  <c:v>5.7</c:v>
                </c:pt>
                <c:pt idx="20">
                  <c:v>5.6</c:v>
                </c:pt>
                <c:pt idx="21">
                  <c:v>6.1</c:v>
                </c:pt>
                <c:pt idx="22">
                  <c:v>6.3</c:v>
                </c:pt>
                <c:pt idx="23">
                  <c:v>7</c:v>
                </c:pt>
                <c:pt idx="24">
                  <c:v>7</c:v>
                </c:pt>
                <c:pt idx="25">
                  <c:v>5.9</c:v>
                </c:pt>
                <c:pt idx="26">
                  <c:v>6.2</c:v>
                </c:pt>
                <c:pt idx="27">
                  <c:v>7.2</c:v>
                </c:pt>
                <c:pt idx="28">
                  <c:v>6.9</c:v>
                </c:pt>
                <c:pt idx="29">
                  <c:v>6.7</c:v>
                </c:pt>
                <c:pt idx="30">
                  <c:v>5.6</c:v>
                </c:pt>
                <c:pt idx="31">
                  <c:v>6.9</c:v>
                </c:pt>
                <c:pt idx="32">
                  <c:v>6.4</c:v>
                </c:pt>
                <c:pt idx="33">
                  <c:v>5.9</c:v>
                </c:pt>
                <c:pt idx="34">
                  <c:v>6.2</c:v>
                </c:pt>
                <c:pt idx="35">
                  <c:v>5.9</c:v>
                </c:pt>
                <c:pt idx="36">
                  <c:v>6.3</c:v>
                </c:pt>
                <c:pt idx="37">
                  <c:v>6.5</c:v>
                </c:pt>
                <c:pt idx="38">
                  <c:v>6</c:v>
                </c:pt>
                <c:pt idx="39">
                  <c:v>5.0999999999999996</c:v>
                </c:pt>
                <c:pt idx="40">
                  <c:v>5.3</c:v>
                </c:pt>
                <c:pt idx="41">
                  <c:v>4.7</c:v>
                </c:pt>
                <c:pt idx="42">
                  <c:v>4</c:v>
                </c:pt>
                <c:pt idx="43">
                  <c:v>5.8</c:v>
                </c:pt>
                <c:pt idx="44">
                  <c:v>6.2</c:v>
                </c:pt>
                <c:pt idx="45">
                  <c:v>7</c:v>
                </c:pt>
                <c:pt idx="46">
                  <c:v>7.4</c:v>
                </c:pt>
                <c:pt idx="47">
                  <c:v>6.4</c:v>
                </c:pt>
                <c:pt idx="48">
                  <c:v>7.3</c:v>
                </c:pt>
                <c:pt idx="49">
                  <c:v>7.5</c:v>
                </c:pt>
                <c:pt idx="50">
                  <c:v>8.1</c:v>
                </c:pt>
                <c:pt idx="51">
                  <c:v>7.6</c:v>
                </c:pt>
                <c:pt idx="52">
                  <c:v>8.1999999999999993</c:v>
                </c:pt>
                <c:pt idx="53">
                  <c:v>8</c:v>
                </c:pt>
                <c:pt idx="54">
                  <c:v>9.3000000000000007</c:v>
                </c:pt>
                <c:pt idx="55">
                  <c:v>7.5</c:v>
                </c:pt>
                <c:pt idx="56">
                  <c:v>7.6</c:v>
                </c:pt>
                <c:pt idx="57">
                  <c:v>7</c:v>
                </c:pt>
                <c:pt idx="58">
                  <c:v>7</c:v>
                </c:pt>
                <c:pt idx="59">
                  <c:v>7.7</c:v>
                </c:pt>
                <c:pt idx="60">
                  <c:v>6.9</c:v>
                </c:pt>
                <c:pt idx="61">
                  <c:v>7</c:v>
                </c:pt>
                <c:pt idx="62">
                  <c:v>7.4</c:v>
                </c:pt>
                <c:pt idx="63">
                  <c:v>7.6</c:v>
                </c:pt>
                <c:pt idx="64">
                  <c:v>6.5</c:v>
                </c:pt>
                <c:pt idx="65">
                  <c:v>8</c:v>
                </c:pt>
                <c:pt idx="66">
                  <c:v>8.8000000000000007</c:v>
                </c:pt>
                <c:pt idx="67">
                  <c:v>7.6</c:v>
                </c:pt>
                <c:pt idx="68">
                  <c:v>7.9</c:v>
                </c:pt>
                <c:pt idx="69">
                  <c:v>8.6</c:v>
                </c:pt>
                <c:pt idx="70">
                  <c:v>8.3000000000000007</c:v>
                </c:pt>
                <c:pt idx="71">
                  <c:v>9.6</c:v>
                </c:pt>
                <c:pt idx="72">
                  <c:v>9.1</c:v>
                </c:pt>
                <c:pt idx="73">
                  <c:v>10.1</c:v>
                </c:pt>
                <c:pt idx="74">
                  <c:v>9.5</c:v>
                </c:pt>
                <c:pt idx="75">
                  <c:v>9.3000000000000007</c:v>
                </c:pt>
              </c:numCache>
            </c:numRef>
          </c:val>
          <c:smooth val="0"/>
        </c:ser>
        <c:dLbls>
          <c:showLegendKey val="0"/>
          <c:showVal val="0"/>
          <c:showCatName val="0"/>
          <c:showSerName val="0"/>
          <c:showPercent val="0"/>
          <c:showBubbleSize val="0"/>
        </c:dLbls>
        <c:marker val="1"/>
        <c:smooth val="0"/>
        <c:axId val="400459224"/>
        <c:axId val="400459616"/>
      </c:lineChart>
      <c:catAx>
        <c:axId val="400458440"/>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58832"/>
        <c:crosses val="autoZero"/>
        <c:auto val="1"/>
        <c:lblAlgn val="ctr"/>
        <c:lblOffset val="100"/>
        <c:noMultiLvlLbl val="0"/>
      </c:catAx>
      <c:valAx>
        <c:axId val="4004588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Índice</a:t>
                </a:r>
              </a:p>
            </c:rich>
          </c:tx>
          <c:overlay val="0"/>
          <c:spPr>
            <a:noFill/>
            <a:ln>
              <a:noFill/>
            </a:ln>
            <a:effectLst/>
          </c:spPr>
        </c:title>
        <c:numFmt formatCode="[$-1010C0A]#,##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58440"/>
        <c:crosses val="autoZero"/>
        <c:crossBetween val="between"/>
      </c:valAx>
      <c:catAx>
        <c:axId val="400459224"/>
        <c:scaling>
          <c:orientation val="minMax"/>
        </c:scaling>
        <c:delete val="1"/>
        <c:axPos val="b"/>
        <c:numFmt formatCode="General" sourceLinked="1"/>
        <c:majorTickMark val="out"/>
        <c:minorTickMark val="none"/>
        <c:tickLblPos val="nextTo"/>
        <c:crossAx val="400459616"/>
        <c:crosses val="autoZero"/>
        <c:auto val="1"/>
        <c:lblAlgn val="ctr"/>
        <c:lblOffset val="100"/>
        <c:noMultiLvlLbl val="0"/>
      </c:catAx>
      <c:valAx>
        <c:axId val="4004596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Var Anual</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59224"/>
        <c:crosses val="max"/>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noFill/>
    <a:ln w="9525" cap="flat" cmpd="sng" algn="ctr">
      <a:noFill/>
      <a:round/>
    </a:ln>
    <a:effectLst/>
  </c:spPr>
  <c:txPr>
    <a:bodyPr/>
    <a:lstStyle/>
    <a:p>
      <a:pPr>
        <a:defRPr/>
      </a:pPr>
      <a:endParaRPr lang="es-C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Var</a:t>
            </a:r>
            <a:r>
              <a:rPr lang="es-CL" baseline="0"/>
              <a:t> en 12 meses - </a:t>
            </a:r>
            <a:r>
              <a:rPr lang="es-CL"/>
              <a:t>IR/ICMO</a:t>
            </a:r>
            <a:r>
              <a:rPr lang="es-CL" baseline="0"/>
              <a:t> Nominales 2009-2016</a:t>
            </a:r>
            <a:endParaRPr lang="es-CL"/>
          </a:p>
        </c:rich>
      </c:tx>
      <c:overlay val="0"/>
      <c:spPr>
        <a:noFill/>
        <a:ln>
          <a:noFill/>
        </a:ln>
        <a:effectLst/>
      </c:spPr>
    </c:title>
    <c:autoTitleDeleted val="0"/>
    <c:plotArea>
      <c:layout/>
      <c:lineChart>
        <c:grouping val="standard"/>
        <c:varyColors val="0"/>
        <c:ser>
          <c:idx val="0"/>
          <c:order val="0"/>
          <c:tx>
            <c:strRef>
              <c:f>'[remuneraciones_ciiu3_referencial_abril2016_Hoteles_vero.xls]IR-ICMO'!$C$1</c:f>
              <c:strCache>
                <c:ptCount val="1"/>
                <c:pt idx="0">
                  <c:v>Índice IR</c:v>
                </c:pt>
              </c:strCache>
            </c:strRef>
          </c:tx>
          <c:spPr>
            <a:ln w="28575" cap="rnd">
              <a:solidFill>
                <a:schemeClr val="accent1"/>
              </a:solidFill>
              <a:round/>
            </a:ln>
            <a:effectLst/>
          </c:spPr>
          <c:marker>
            <c:symbol val="none"/>
          </c:marker>
          <c:cat>
            <c:multiLvlStrRef>
              <c:f>'[remuneraciones_ciiu3_referencial_abril2016_Hoteles_vero.xls]IR-ICMO'!$A$14:$B$89</c:f>
              <c:multiLvlStrCache>
                <c:ptCount val="76"/>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lvl>
                <c:lvl>
                  <c:pt idx="0">
                    <c:v>2010</c:v>
                  </c:pt>
                  <c:pt idx="12">
                    <c:v>2011</c:v>
                  </c:pt>
                  <c:pt idx="24">
                    <c:v>2012</c:v>
                  </c:pt>
                  <c:pt idx="36">
                    <c:v>2013</c:v>
                  </c:pt>
                  <c:pt idx="48">
                    <c:v>2014</c:v>
                  </c:pt>
                  <c:pt idx="60">
                    <c:v>2015</c:v>
                  </c:pt>
                  <c:pt idx="72">
                    <c:v>2016</c:v>
                  </c:pt>
                </c:lvl>
              </c:multiLvlStrCache>
            </c:multiLvlStrRef>
          </c:cat>
          <c:val>
            <c:numRef>
              <c:f>'[remuneraciones_ciiu3_referencial_abril2016_Hoteles_vero.xls]IR-ICMO'!$E$14:$E$89</c:f>
              <c:numCache>
                <c:formatCode>General</c:formatCode>
                <c:ptCount val="76"/>
                <c:pt idx="0">
                  <c:v>-0.3</c:v>
                </c:pt>
                <c:pt idx="1">
                  <c:v>1.6</c:v>
                </c:pt>
                <c:pt idx="2">
                  <c:v>3</c:v>
                </c:pt>
                <c:pt idx="3">
                  <c:v>2.7</c:v>
                </c:pt>
                <c:pt idx="4">
                  <c:v>4.0999999999999996</c:v>
                </c:pt>
                <c:pt idx="5">
                  <c:v>4.7</c:v>
                </c:pt>
                <c:pt idx="6">
                  <c:v>5.7</c:v>
                </c:pt>
                <c:pt idx="7">
                  <c:v>5</c:v>
                </c:pt>
                <c:pt idx="8">
                  <c:v>4.5</c:v>
                </c:pt>
                <c:pt idx="9">
                  <c:v>4</c:v>
                </c:pt>
                <c:pt idx="10">
                  <c:v>4.3</c:v>
                </c:pt>
                <c:pt idx="11">
                  <c:v>4.5</c:v>
                </c:pt>
                <c:pt idx="12">
                  <c:v>4.8</c:v>
                </c:pt>
                <c:pt idx="13">
                  <c:v>3.7</c:v>
                </c:pt>
                <c:pt idx="14">
                  <c:v>4.0999999999999996</c:v>
                </c:pt>
                <c:pt idx="15">
                  <c:v>4</c:v>
                </c:pt>
                <c:pt idx="16">
                  <c:v>2.7</c:v>
                </c:pt>
                <c:pt idx="17">
                  <c:v>3.7</c:v>
                </c:pt>
                <c:pt idx="18">
                  <c:v>3.9</c:v>
                </c:pt>
                <c:pt idx="19">
                  <c:v>4.7</c:v>
                </c:pt>
                <c:pt idx="20">
                  <c:v>5</c:v>
                </c:pt>
                <c:pt idx="21">
                  <c:v>5.2</c:v>
                </c:pt>
                <c:pt idx="22">
                  <c:v>5.5</c:v>
                </c:pt>
                <c:pt idx="23">
                  <c:v>6</c:v>
                </c:pt>
                <c:pt idx="24">
                  <c:v>6.2</c:v>
                </c:pt>
                <c:pt idx="25">
                  <c:v>5.0999999999999996</c:v>
                </c:pt>
                <c:pt idx="26">
                  <c:v>5.3</c:v>
                </c:pt>
                <c:pt idx="27">
                  <c:v>6.3</c:v>
                </c:pt>
                <c:pt idx="28">
                  <c:v>6.2</c:v>
                </c:pt>
                <c:pt idx="29">
                  <c:v>5.9</c:v>
                </c:pt>
                <c:pt idx="30">
                  <c:v>5.4</c:v>
                </c:pt>
                <c:pt idx="31">
                  <c:v>6.3</c:v>
                </c:pt>
                <c:pt idx="32">
                  <c:v>6</c:v>
                </c:pt>
                <c:pt idx="33">
                  <c:v>5.6</c:v>
                </c:pt>
                <c:pt idx="34">
                  <c:v>5.8</c:v>
                </c:pt>
                <c:pt idx="35">
                  <c:v>5.8</c:v>
                </c:pt>
                <c:pt idx="36">
                  <c:v>6</c:v>
                </c:pt>
                <c:pt idx="37">
                  <c:v>6.5</c:v>
                </c:pt>
                <c:pt idx="38">
                  <c:v>6.1</c:v>
                </c:pt>
                <c:pt idx="39">
                  <c:v>5.3</c:v>
                </c:pt>
                <c:pt idx="40">
                  <c:v>5.2</c:v>
                </c:pt>
                <c:pt idx="41">
                  <c:v>4.8</c:v>
                </c:pt>
                <c:pt idx="42">
                  <c:v>3.8</c:v>
                </c:pt>
                <c:pt idx="43">
                  <c:v>5.6</c:v>
                </c:pt>
                <c:pt idx="44">
                  <c:v>5.9</c:v>
                </c:pt>
                <c:pt idx="45">
                  <c:v>6.9</c:v>
                </c:pt>
                <c:pt idx="46">
                  <c:v>6.9</c:v>
                </c:pt>
                <c:pt idx="47">
                  <c:v>5.7</c:v>
                </c:pt>
                <c:pt idx="48">
                  <c:v>6.9</c:v>
                </c:pt>
                <c:pt idx="49">
                  <c:v>6.7</c:v>
                </c:pt>
                <c:pt idx="50">
                  <c:v>7.1</c:v>
                </c:pt>
                <c:pt idx="51">
                  <c:v>6.6</c:v>
                </c:pt>
                <c:pt idx="52">
                  <c:v>7.4</c:v>
                </c:pt>
                <c:pt idx="53">
                  <c:v>7</c:v>
                </c:pt>
                <c:pt idx="54">
                  <c:v>8.5</c:v>
                </c:pt>
                <c:pt idx="55">
                  <c:v>6.7</c:v>
                </c:pt>
                <c:pt idx="56">
                  <c:v>7.1</c:v>
                </c:pt>
                <c:pt idx="57">
                  <c:v>6.5</c:v>
                </c:pt>
                <c:pt idx="58">
                  <c:v>6.7</c:v>
                </c:pt>
                <c:pt idx="59">
                  <c:v>7.3</c:v>
                </c:pt>
                <c:pt idx="60">
                  <c:v>6.9</c:v>
                </c:pt>
                <c:pt idx="61">
                  <c:v>7.3</c:v>
                </c:pt>
                <c:pt idx="62">
                  <c:v>7.5</c:v>
                </c:pt>
                <c:pt idx="63">
                  <c:v>7.5</c:v>
                </c:pt>
                <c:pt idx="64">
                  <c:v>6.5</c:v>
                </c:pt>
                <c:pt idx="65">
                  <c:v>7.6</c:v>
                </c:pt>
                <c:pt idx="66">
                  <c:v>7.9</c:v>
                </c:pt>
                <c:pt idx="67">
                  <c:v>6.5</c:v>
                </c:pt>
                <c:pt idx="68">
                  <c:v>6.5</c:v>
                </c:pt>
                <c:pt idx="69">
                  <c:v>7</c:v>
                </c:pt>
                <c:pt idx="70">
                  <c:v>6.8</c:v>
                </c:pt>
                <c:pt idx="71">
                  <c:v>8</c:v>
                </c:pt>
                <c:pt idx="72">
                  <c:v>9.1</c:v>
                </c:pt>
                <c:pt idx="73">
                  <c:v>9.6</c:v>
                </c:pt>
                <c:pt idx="74">
                  <c:v>8.6999999999999993</c:v>
                </c:pt>
                <c:pt idx="75">
                  <c:v>8.5</c:v>
                </c:pt>
              </c:numCache>
            </c:numRef>
          </c:val>
          <c:smooth val="0"/>
        </c:ser>
        <c:ser>
          <c:idx val="1"/>
          <c:order val="1"/>
          <c:tx>
            <c:strRef>
              <c:f>'[remuneraciones_ciiu3_referencial_abril2016_Hoteles_vero.xls]IR-ICMO'!$D$1</c:f>
              <c:strCache>
                <c:ptCount val="1"/>
                <c:pt idx="0">
                  <c:v>Índice ICMO</c:v>
                </c:pt>
              </c:strCache>
            </c:strRef>
          </c:tx>
          <c:spPr>
            <a:ln w="28575" cap="rnd">
              <a:solidFill>
                <a:schemeClr val="accent2"/>
              </a:solidFill>
              <a:round/>
            </a:ln>
            <a:effectLst/>
          </c:spPr>
          <c:marker>
            <c:symbol val="none"/>
          </c:marker>
          <c:cat>
            <c:multiLvlStrRef>
              <c:f>'[remuneraciones_ciiu3_referencial_abril2016_Hoteles_vero.xls]IR-ICMO'!$A$14:$B$89</c:f>
              <c:multiLvlStrCache>
                <c:ptCount val="76"/>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lvl>
                <c:lvl>
                  <c:pt idx="0">
                    <c:v>2010</c:v>
                  </c:pt>
                  <c:pt idx="12">
                    <c:v>2011</c:v>
                  </c:pt>
                  <c:pt idx="24">
                    <c:v>2012</c:v>
                  </c:pt>
                  <c:pt idx="36">
                    <c:v>2013</c:v>
                  </c:pt>
                  <c:pt idx="48">
                    <c:v>2014</c:v>
                  </c:pt>
                  <c:pt idx="60">
                    <c:v>2015</c:v>
                  </c:pt>
                  <c:pt idx="72">
                    <c:v>2016</c:v>
                  </c:pt>
                </c:lvl>
              </c:multiLvlStrCache>
            </c:multiLvlStrRef>
          </c:cat>
          <c:val>
            <c:numRef>
              <c:f>'[remuneraciones_ciiu3_referencial_abril2016_Hoteles_vero.xls]IR-ICMO'!$F$14:$F$89</c:f>
              <c:numCache>
                <c:formatCode>General</c:formatCode>
                <c:ptCount val="76"/>
                <c:pt idx="0">
                  <c:v>0.3</c:v>
                </c:pt>
                <c:pt idx="1">
                  <c:v>2.2000000000000002</c:v>
                </c:pt>
                <c:pt idx="2">
                  <c:v>3.9</c:v>
                </c:pt>
                <c:pt idx="3">
                  <c:v>3.8</c:v>
                </c:pt>
                <c:pt idx="4">
                  <c:v>5.0999999999999996</c:v>
                </c:pt>
                <c:pt idx="5">
                  <c:v>5.8</c:v>
                </c:pt>
                <c:pt idx="6">
                  <c:v>6.5</c:v>
                </c:pt>
                <c:pt idx="7">
                  <c:v>5.8</c:v>
                </c:pt>
                <c:pt idx="8">
                  <c:v>5.8</c:v>
                </c:pt>
                <c:pt idx="9">
                  <c:v>5.3</c:v>
                </c:pt>
                <c:pt idx="10">
                  <c:v>5.6</c:v>
                </c:pt>
                <c:pt idx="11">
                  <c:v>5.4</c:v>
                </c:pt>
                <c:pt idx="12">
                  <c:v>6.1</c:v>
                </c:pt>
                <c:pt idx="13">
                  <c:v>4.9000000000000004</c:v>
                </c:pt>
                <c:pt idx="14">
                  <c:v>5.0999999999999996</c:v>
                </c:pt>
                <c:pt idx="15">
                  <c:v>5</c:v>
                </c:pt>
                <c:pt idx="16">
                  <c:v>3.9</c:v>
                </c:pt>
                <c:pt idx="17">
                  <c:v>4.5999999999999996</c:v>
                </c:pt>
                <c:pt idx="18">
                  <c:v>5.2</c:v>
                </c:pt>
                <c:pt idx="19">
                  <c:v>5.7</c:v>
                </c:pt>
                <c:pt idx="20">
                  <c:v>5.6</c:v>
                </c:pt>
                <c:pt idx="21">
                  <c:v>6.1</c:v>
                </c:pt>
                <c:pt idx="22">
                  <c:v>6.3</c:v>
                </c:pt>
                <c:pt idx="23">
                  <c:v>7</c:v>
                </c:pt>
                <c:pt idx="24">
                  <c:v>7</c:v>
                </c:pt>
                <c:pt idx="25">
                  <c:v>5.9</c:v>
                </c:pt>
                <c:pt idx="26">
                  <c:v>6.2</c:v>
                </c:pt>
                <c:pt idx="27">
                  <c:v>7.2</c:v>
                </c:pt>
                <c:pt idx="28">
                  <c:v>6.9</c:v>
                </c:pt>
                <c:pt idx="29">
                  <c:v>6.7</c:v>
                </c:pt>
                <c:pt idx="30">
                  <c:v>5.6</c:v>
                </c:pt>
                <c:pt idx="31">
                  <c:v>6.9</c:v>
                </c:pt>
                <c:pt idx="32">
                  <c:v>6.4</c:v>
                </c:pt>
                <c:pt idx="33">
                  <c:v>5.9</c:v>
                </c:pt>
                <c:pt idx="34">
                  <c:v>6.2</c:v>
                </c:pt>
                <c:pt idx="35">
                  <c:v>5.9</c:v>
                </c:pt>
                <c:pt idx="36">
                  <c:v>6.3</c:v>
                </c:pt>
                <c:pt idx="37">
                  <c:v>6.5</c:v>
                </c:pt>
                <c:pt idx="38">
                  <c:v>6</c:v>
                </c:pt>
                <c:pt idx="39">
                  <c:v>5.0999999999999996</c:v>
                </c:pt>
                <c:pt idx="40">
                  <c:v>5.3</c:v>
                </c:pt>
                <c:pt idx="41">
                  <c:v>4.7</c:v>
                </c:pt>
                <c:pt idx="42">
                  <c:v>4</c:v>
                </c:pt>
                <c:pt idx="43">
                  <c:v>5.8</c:v>
                </c:pt>
                <c:pt idx="44">
                  <c:v>6.2</c:v>
                </c:pt>
                <c:pt idx="45">
                  <c:v>7</c:v>
                </c:pt>
                <c:pt idx="46">
                  <c:v>7.4</c:v>
                </c:pt>
                <c:pt idx="47">
                  <c:v>6.4</c:v>
                </c:pt>
                <c:pt idx="48">
                  <c:v>7.3</c:v>
                </c:pt>
                <c:pt idx="49">
                  <c:v>7.5</c:v>
                </c:pt>
                <c:pt idx="50">
                  <c:v>8.1</c:v>
                </c:pt>
                <c:pt idx="51">
                  <c:v>7.6</c:v>
                </c:pt>
                <c:pt idx="52">
                  <c:v>8.1999999999999993</c:v>
                </c:pt>
                <c:pt idx="53">
                  <c:v>8</c:v>
                </c:pt>
                <c:pt idx="54">
                  <c:v>9.3000000000000007</c:v>
                </c:pt>
                <c:pt idx="55">
                  <c:v>7.5</c:v>
                </c:pt>
                <c:pt idx="56">
                  <c:v>7.6</c:v>
                </c:pt>
                <c:pt idx="57">
                  <c:v>7</c:v>
                </c:pt>
                <c:pt idx="58">
                  <c:v>7</c:v>
                </c:pt>
                <c:pt idx="59">
                  <c:v>7.7</c:v>
                </c:pt>
                <c:pt idx="60">
                  <c:v>6.9</c:v>
                </c:pt>
                <c:pt idx="61">
                  <c:v>7</c:v>
                </c:pt>
                <c:pt idx="62">
                  <c:v>7.4</c:v>
                </c:pt>
                <c:pt idx="63">
                  <c:v>7.6</c:v>
                </c:pt>
                <c:pt idx="64">
                  <c:v>6.5</c:v>
                </c:pt>
                <c:pt idx="65">
                  <c:v>8</c:v>
                </c:pt>
                <c:pt idx="66">
                  <c:v>8.8000000000000007</c:v>
                </c:pt>
                <c:pt idx="67">
                  <c:v>7.6</c:v>
                </c:pt>
                <c:pt idx="68">
                  <c:v>7.9</c:v>
                </c:pt>
                <c:pt idx="69">
                  <c:v>8.6</c:v>
                </c:pt>
                <c:pt idx="70">
                  <c:v>8.3000000000000007</c:v>
                </c:pt>
                <c:pt idx="71">
                  <c:v>9.6</c:v>
                </c:pt>
                <c:pt idx="72">
                  <c:v>9.1</c:v>
                </c:pt>
                <c:pt idx="73">
                  <c:v>10.1</c:v>
                </c:pt>
                <c:pt idx="74">
                  <c:v>9.5</c:v>
                </c:pt>
                <c:pt idx="75">
                  <c:v>9.3000000000000007</c:v>
                </c:pt>
              </c:numCache>
            </c:numRef>
          </c:val>
          <c:smooth val="0"/>
        </c:ser>
        <c:dLbls>
          <c:showLegendKey val="0"/>
          <c:showVal val="0"/>
          <c:showCatName val="0"/>
          <c:showSerName val="0"/>
          <c:showPercent val="0"/>
          <c:showBubbleSize val="0"/>
        </c:dLbls>
        <c:smooth val="0"/>
        <c:axId val="180154360"/>
        <c:axId val="180154752"/>
      </c:lineChart>
      <c:catAx>
        <c:axId val="18015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80154752"/>
        <c:crosses val="autoZero"/>
        <c:auto val="1"/>
        <c:lblAlgn val="ctr"/>
        <c:lblOffset val="100"/>
        <c:noMultiLvlLbl val="0"/>
      </c:catAx>
      <c:valAx>
        <c:axId val="1801547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Índice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8015436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noFill/>
    <a:ln w="9525" cap="flat" cmpd="sng" algn="ctr">
      <a:noFill/>
      <a:round/>
    </a:ln>
    <a:effectLst/>
  </c:spPr>
  <c:txPr>
    <a:bodyPr/>
    <a:lstStyle/>
    <a:p>
      <a:pPr>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50503062117236E-2"/>
          <c:y val="6.7663677456984539E-2"/>
          <c:w val="0.95252050524934373"/>
          <c:h val="0.68674540682414698"/>
        </c:manualLayout>
      </c:layout>
      <c:barChart>
        <c:barDir val="col"/>
        <c:grouping val="clustered"/>
        <c:varyColors val="0"/>
        <c:ser>
          <c:idx val="0"/>
          <c:order val="0"/>
          <c:tx>
            <c:strRef>
              <c:f>Divisas!$C$12</c:f>
              <c:strCache>
                <c:ptCount val="1"/>
                <c:pt idx="0">
                  <c:v>Ingreso de divisas (Millones US$)</c:v>
                </c:pt>
              </c:strCache>
            </c:strRef>
          </c:tx>
          <c:spPr>
            <a:ln w="28575">
              <a:noFill/>
              <a:prstDash val="solid"/>
            </a:ln>
          </c:spPr>
          <c:invertIfNegative val="0"/>
          <c:dLbls>
            <c:dLbl>
              <c:idx val="10"/>
              <c:numFmt formatCode="#,##0" sourceLinked="0"/>
              <c:spPr>
                <a:noFill/>
                <a:ln w="15875">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dLbl>
            <c:numFmt formatCode="#,##0" sourceLinked="0"/>
            <c:spPr>
              <a:noFill/>
              <a:ln w="25400">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Divisas!$A$20:$A$27</c:f>
              <c:numCache>
                <c:formatCode>General</c:formatCode>
                <c:ptCount val="8"/>
                <c:pt idx="0">
                  <c:v>2008</c:v>
                </c:pt>
                <c:pt idx="1">
                  <c:v>2009</c:v>
                </c:pt>
                <c:pt idx="2">
                  <c:v>2010</c:v>
                </c:pt>
                <c:pt idx="3">
                  <c:v>2011</c:v>
                </c:pt>
                <c:pt idx="4">
                  <c:v>2012</c:v>
                </c:pt>
                <c:pt idx="5">
                  <c:v>2013</c:v>
                </c:pt>
                <c:pt idx="6">
                  <c:v>2014</c:v>
                </c:pt>
                <c:pt idx="7">
                  <c:v>2015</c:v>
                </c:pt>
              </c:numCache>
            </c:numRef>
          </c:cat>
          <c:val>
            <c:numRef>
              <c:f>Divisas!$C$20:$C$27</c:f>
              <c:numCache>
                <c:formatCode>#,##0.0</c:formatCode>
                <c:ptCount val="8"/>
                <c:pt idx="0">
                  <c:v>2013.8811344964292</c:v>
                </c:pt>
                <c:pt idx="1">
                  <c:v>2005.8304001917286</c:v>
                </c:pt>
                <c:pt idx="2">
                  <c:v>2042.929150299251</c:v>
                </c:pt>
                <c:pt idx="3">
                  <c:v>2261.1369856994916</c:v>
                </c:pt>
                <c:pt idx="4">
                  <c:v>2559.4697520094937</c:v>
                </c:pt>
                <c:pt idx="5">
                  <c:v>2581.1335414802352</c:v>
                </c:pt>
                <c:pt idx="6">
                  <c:v>2670.8899140372919</c:v>
                </c:pt>
                <c:pt idx="7">
                  <c:v>2909.8943671842317</c:v>
                </c:pt>
              </c:numCache>
            </c:numRef>
          </c:val>
        </c:ser>
        <c:dLbls>
          <c:showLegendKey val="0"/>
          <c:showVal val="0"/>
          <c:showCatName val="0"/>
          <c:showSerName val="0"/>
          <c:showPercent val="0"/>
          <c:showBubbleSize val="0"/>
        </c:dLbls>
        <c:gapWidth val="150"/>
        <c:axId val="396961400"/>
        <c:axId val="394108304"/>
      </c:barChart>
      <c:barChart>
        <c:barDir val="col"/>
        <c:grouping val="clustered"/>
        <c:varyColors val="0"/>
        <c:ser>
          <c:idx val="1"/>
          <c:order val="1"/>
          <c:tx>
            <c:strRef>
              <c:f>Divisas!$D$12</c:f>
              <c:strCache>
                <c:ptCount val="1"/>
                <c:pt idx="0">
                  <c:v>% Var anual nominal (moneda de cada año)</c:v>
                </c:pt>
              </c:strCache>
            </c:strRef>
          </c:tx>
          <c:spPr>
            <a:solidFill>
              <a:schemeClr val="bg1">
                <a:lumMod val="75000"/>
              </a:schemeClr>
            </a:solidFill>
            <a:ln w="25400">
              <a:noFill/>
            </a:ln>
          </c:spPr>
          <c:invertIfNegative val="0"/>
          <c:dLbls>
            <c:dLbl>
              <c:idx val="4"/>
              <c:layout>
                <c:manualLayout>
                  <c:x val="5.6377730796334929E-3"/>
                  <c:y val="0"/>
                </c:manualLayout>
              </c:layout>
              <c:showLegendKey val="0"/>
              <c:showVal val="1"/>
              <c:showCatName val="0"/>
              <c:showSerName val="0"/>
              <c:showPercent val="0"/>
              <c:showBubbleSize val="0"/>
              <c:extLst>
                <c:ext xmlns:c15="http://schemas.microsoft.com/office/drawing/2012/chart" uri="{CE6537A1-D6FC-4f65-9D91-7224C49458BB}"/>
              </c:extLst>
            </c:dLbl>
            <c:numFmt formatCode="0.0%_ ;[Red]\-0.0%" sourceLinked="0"/>
            <c:spPr>
              <a:noFill/>
              <a:ln w="25400">
                <a:noFill/>
              </a:ln>
            </c:spPr>
            <c:txPr>
              <a:bodyPr/>
              <a:lstStyle/>
              <a:p>
                <a:pPr>
                  <a:defRPr b="1">
                    <a:solidFill>
                      <a:srgbClr val="0070C0"/>
                    </a:solidFill>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Divisas!$A$20:$A$27</c:f>
              <c:numCache>
                <c:formatCode>General</c:formatCode>
                <c:ptCount val="8"/>
                <c:pt idx="0">
                  <c:v>2008</c:v>
                </c:pt>
                <c:pt idx="1">
                  <c:v>2009</c:v>
                </c:pt>
                <c:pt idx="2">
                  <c:v>2010</c:v>
                </c:pt>
                <c:pt idx="3">
                  <c:v>2011</c:v>
                </c:pt>
                <c:pt idx="4">
                  <c:v>2012</c:v>
                </c:pt>
                <c:pt idx="5">
                  <c:v>2013</c:v>
                </c:pt>
                <c:pt idx="6">
                  <c:v>2014</c:v>
                </c:pt>
                <c:pt idx="7">
                  <c:v>2015</c:v>
                </c:pt>
              </c:numCache>
            </c:numRef>
          </c:cat>
          <c:val>
            <c:numRef>
              <c:f>Divisas!$D$20:$D$27</c:f>
              <c:numCache>
                <c:formatCode>0.0%_ ;[Red]\-0.0%</c:formatCode>
                <c:ptCount val="8"/>
                <c:pt idx="0">
                  <c:v>6.253618173637765E-2</c:v>
                </c:pt>
                <c:pt idx="1">
                  <c:v>-3.9976213922445769E-3</c:v>
                </c:pt>
                <c:pt idx="2">
                  <c:v>1.8495457095463408E-2</c:v>
                </c:pt>
                <c:pt idx="3">
                  <c:v>0.1068112593959889</c:v>
                </c:pt>
                <c:pt idx="4">
                  <c:v>0.13193927134746852</c:v>
                </c:pt>
                <c:pt idx="5">
                  <c:v>8.4641709298314272E-3</c:v>
                </c:pt>
                <c:pt idx="6">
                  <c:v>3.4774013476878363E-2</c:v>
                </c:pt>
                <c:pt idx="7">
                  <c:v>8.9484951023557135E-2</c:v>
                </c:pt>
              </c:numCache>
            </c:numRef>
          </c:val>
        </c:ser>
        <c:dLbls>
          <c:showLegendKey val="0"/>
          <c:showVal val="0"/>
          <c:showCatName val="0"/>
          <c:showSerName val="0"/>
          <c:showPercent val="0"/>
          <c:showBubbleSize val="0"/>
        </c:dLbls>
        <c:gapWidth val="150"/>
        <c:axId val="394108696"/>
        <c:axId val="394109088"/>
      </c:barChart>
      <c:catAx>
        <c:axId val="396961400"/>
        <c:scaling>
          <c:orientation val="minMax"/>
        </c:scaling>
        <c:delete val="0"/>
        <c:axPos val="b"/>
        <c:title>
          <c:tx>
            <c:rich>
              <a:bodyPr/>
              <a:lstStyle/>
              <a:p>
                <a:pPr>
                  <a:defRPr b="1"/>
                </a:pPr>
                <a:r>
                  <a:rPr lang="es-ES" b="1"/>
                  <a:t>Años</a:t>
                </a:r>
              </a:p>
            </c:rich>
          </c:tx>
          <c:layout>
            <c:manualLayout>
              <c:xMode val="edge"/>
              <c:yMode val="edge"/>
              <c:x val="0.46596183289588811"/>
              <c:y val="0.83032985741647192"/>
            </c:manualLayout>
          </c:layout>
          <c:overlay val="0"/>
          <c:spPr>
            <a:noFill/>
            <a:ln w="25400">
              <a:noFill/>
            </a:ln>
          </c:spPr>
        </c:title>
        <c:numFmt formatCode="General" sourceLinked="1"/>
        <c:majorTickMark val="none"/>
        <c:minorTickMark val="none"/>
        <c:tickLblPos val="nextTo"/>
        <c:spPr>
          <a:ln w="3175">
            <a:noFill/>
            <a:prstDash val="solid"/>
          </a:ln>
        </c:spPr>
        <c:txPr>
          <a:bodyPr rot="0" vert="horz"/>
          <a:lstStyle/>
          <a:p>
            <a:pPr>
              <a:defRPr>
                <a:solidFill>
                  <a:sysClr val="windowText" lastClr="000000"/>
                </a:solidFill>
              </a:defRPr>
            </a:pPr>
            <a:endParaRPr lang="es-CL"/>
          </a:p>
        </c:txPr>
        <c:crossAx val="394108304"/>
        <c:crosses val="autoZero"/>
        <c:auto val="1"/>
        <c:lblAlgn val="ctr"/>
        <c:lblOffset val="100"/>
        <c:tickLblSkip val="1"/>
        <c:tickMarkSkip val="1"/>
        <c:noMultiLvlLbl val="0"/>
      </c:catAx>
      <c:valAx>
        <c:axId val="394108304"/>
        <c:scaling>
          <c:orientation val="minMax"/>
          <c:max val="4000"/>
          <c:min val="0"/>
        </c:scaling>
        <c:delete val="0"/>
        <c:axPos val="l"/>
        <c:numFmt formatCode="#,##0" sourceLinked="0"/>
        <c:majorTickMark val="none"/>
        <c:minorTickMark val="none"/>
        <c:tickLblPos val="none"/>
        <c:spPr>
          <a:ln w="3175">
            <a:noFill/>
            <a:prstDash val="solid"/>
          </a:ln>
        </c:spPr>
        <c:txPr>
          <a:bodyPr rot="0" vert="horz"/>
          <a:lstStyle/>
          <a:p>
            <a:pPr>
              <a:defRPr sz="700"/>
            </a:pPr>
            <a:endParaRPr lang="es-CL"/>
          </a:p>
        </c:txPr>
        <c:crossAx val="396961400"/>
        <c:crosses val="autoZero"/>
        <c:crossBetween val="between"/>
      </c:valAx>
      <c:catAx>
        <c:axId val="394108696"/>
        <c:scaling>
          <c:orientation val="minMax"/>
        </c:scaling>
        <c:delete val="1"/>
        <c:axPos val="b"/>
        <c:numFmt formatCode="General" sourceLinked="1"/>
        <c:majorTickMark val="out"/>
        <c:minorTickMark val="none"/>
        <c:tickLblPos val="none"/>
        <c:crossAx val="394109088"/>
        <c:crosses val="autoZero"/>
        <c:auto val="1"/>
        <c:lblAlgn val="ctr"/>
        <c:lblOffset val="100"/>
        <c:noMultiLvlLbl val="0"/>
      </c:catAx>
      <c:valAx>
        <c:axId val="394109088"/>
        <c:scaling>
          <c:orientation val="minMax"/>
          <c:max val="0.15000000000000002"/>
          <c:min val="-0.5"/>
        </c:scaling>
        <c:delete val="0"/>
        <c:axPos val="r"/>
        <c:numFmt formatCode="0.0%_ ;[Red]\-0.0%" sourceLinked="1"/>
        <c:majorTickMark val="none"/>
        <c:minorTickMark val="none"/>
        <c:tickLblPos val="none"/>
        <c:spPr>
          <a:ln w="9525">
            <a:noFill/>
          </a:ln>
        </c:spPr>
        <c:crossAx val="394108696"/>
        <c:crosses val="max"/>
        <c:crossBetween val="between"/>
      </c:valAx>
      <c:spPr>
        <a:solidFill>
          <a:srgbClr val="FFFFFF"/>
        </a:solidFill>
        <a:ln w="25400">
          <a:noFill/>
        </a:ln>
      </c:spPr>
    </c:plotArea>
    <c:legend>
      <c:legendPos val="r"/>
      <c:layout>
        <c:manualLayout>
          <c:xMode val="edge"/>
          <c:yMode val="edge"/>
          <c:x val="0"/>
          <c:y val="0.88707166812481775"/>
          <c:w val="0.99936714362317614"/>
          <c:h val="0.11292833187518227"/>
        </c:manualLayout>
      </c:layout>
      <c:overlay val="0"/>
      <c:spPr>
        <a:noFill/>
        <a:ln w="25400">
          <a:noFill/>
        </a:ln>
      </c:spPr>
      <c:txPr>
        <a:bodyPr/>
        <a:lstStyle/>
        <a:p>
          <a:pPr>
            <a:defRPr sz="700" b="0" kern="0" baseline="0"/>
          </a:pPr>
          <a:endParaRPr lang="es-CL"/>
        </a:p>
      </c:txPr>
    </c:legend>
    <c:plotVisOnly val="1"/>
    <c:dispBlanksAs val="gap"/>
    <c:showDLblsOverMax val="0"/>
  </c:chart>
  <c:spPr>
    <a:ln w="9525">
      <a:noFill/>
    </a:ln>
  </c:spPr>
  <c:txPr>
    <a:bodyPr/>
    <a:lstStyle/>
    <a:p>
      <a:pPr>
        <a:defRPr sz="740" b="0" i="0" u="none" strike="noStrike" baseline="0">
          <a:solidFill>
            <a:srgbClr val="000000"/>
          </a:solidFill>
          <a:latin typeface="Verdana" pitchFamily="34" charset="0"/>
          <a:ea typeface="Verdana" pitchFamily="34" charset="0"/>
          <a:cs typeface="Verdana" pitchFamily="34" charset="0"/>
        </a:defRPr>
      </a:pPr>
      <a:endParaRPr lang="es-C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Gasto Receptivo e Interno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1"/>
          <c:order val="0"/>
          <c:tx>
            <c:strRef>
              <c:f>Hoja1!$A$26</c:f>
              <c:strCache>
                <c:ptCount val="1"/>
                <c:pt idx="0">
                  <c:v>Turismo Receptivo</c:v>
                </c:pt>
              </c:strCache>
            </c:strRef>
          </c:tx>
          <c:spPr>
            <a:solidFill>
              <a:schemeClr val="accent2"/>
            </a:solidFill>
            <a:ln>
              <a:noFill/>
            </a:ln>
            <a:effectLst/>
          </c:spPr>
          <c:invertIfNegative val="0"/>
          <c:dLbls>
            <c:dLbl>
              <c:idx val="1"/>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703703703703712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8798E-3"/>
                  <c:y val="-2.77777777777778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Hoja1!$B$9:$E$9</c:f>
              <c:numCache>
                <c:formatCode>General</c:formatCode>
                <c:ptCount val="4"/>
                <c:pt idx="0">
                  <c:v>2012</c:v>
                </c:pt>
                <c:pt idx="1">
                  <c:v>2013</c:v>
                </c:pt>
                <c:pt idx="2">
                  <c:v>2014</c:v>
                </c:pt>
                <c:pt idx="3">
                  <c:v>2015</c:v>
                </c:pt>
              </c:numCache>
            </c:numRef>
          </c:cat>
          <c:val>
            <c:numRef>
              <c:f>Hoja1!$B$26:$E$26</c:f>
              <c:numCache>
                <c:formatCode>0.0%</c:formatCode>
                <c:ptCount val="4"/>
                <c:pt idx="0">
                  <c:v>0.37586917120150021</c:v>
                </c:pt>
                <c:pt idx="1">
                  <c:v>0.36605937560195195</c:v>
                </c:pt>
                <c:pt idx="2">
                  <c:v>0.35991504320594475</c:v>
                </c:pt>
                <c:pt idx="3">
                  <c:v>0.3632879311851584</c:v>
                </c:pt>
              </c:numCache>
            </c:numRef>
          </c:val>
        </c:ser>
        <c:ser>
          <c:idx val="2"/>
          <c:order val="1"/>
          <c:tx>
            <c:strRef>
              <c:f>Hoja1!$A$27</c:f>
              <c:strCache>
                <c:ptCount val="1"/>
                <c:pt idx="0">
                  <c:v>Turismo Interno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Hoja1!$B$9:$E$9</c:f>
              <c:numCache>
                <c:formatCode>General</c:formatCode>
                <c:ptCount val="4"/>
                <c:pt idx="0">
                  <c:v>2012</c:v>
                </c:pt>
                <c:pt idx="1">
                  <c:v>2013</c:v>
                </c:pt>
                <c:pt idx="2">
                  <c:v>2014</c:v>
                </c:pt>
                <c:pt idx="3">
                  <c:v>2015</c:v>
                </c:pt>
              </c:numCache>
            </c:numRef>
          </c:cat>
          <c:val>
            <c:numRef>
              <c:f>Hoja1!$B$27:$E$27</c:f>
              <c:numCache>
                <c:formatCode>0.0%</c:formatCode>
                <c:ptCount val="4"/>
                <c:pt idx="0">
                  <c:v>0.62413082879849968</c:v>
                </c:pt>
                <c:pt idx="1">
                  <c:v>0.63394062439804799</c:v>
                </c:pt>
                <c:pt idx="2">
                  <c:v>0.64008495679405519</c:v>
                </c:pt>
                <c:pt idx="3">
                  <c:v>0.63671206881484166</c:v>
                </c:pt>
              </c:numCache>
            </c:numRef>
          </c:val>
        </c:ser>
        <c:dLbls>
          <c:showLegendKey val="0"/>
          <c:showVal val="0"/>
          <c:showCatName val="0"/>
          <c:showSerName val="0"/>
          <c:showPercent val="0"/>
          <c:showBubbleSize val="0"/>
        </c:dLbls>
        <c:gapWidth val="219"/>
        <c:overlap val="-27"/>
        <c:axId val="394109872"/>
        <c:axId val="394110264"/>
      </c:barChart>
      <c:catAx>
        <c:axId val="39410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4110264"/>
        <c:crosses val="autoZero"/>
        <c:auto val="1"/>
        <c:lblAlgn val="ctr"/>
        <c:lblOffset val="100"/>
        <c:noMultiLvlLbl val="0"/>
      </c:catAx>
      <c:valAx>
        <c:axId val="3941102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410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Participación Exportaciones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1"/>
          <c:order val="0"/>
          <c:tx>
            <c:strRef>
              <c:f>Hoja1!$A$16</c:f>
              <c:strCache>
                <c:ptCount val="1"/>
                <c:pt idx="0">
                  <c:v>Participación exportación Bienes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Hoja1!$B$15:$L$15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Hoja1!$B$16:$L$16</c:f>
              <c:numCache>
                <c:formatCode>0.0%</c:formatCode>
                <c:ptCount val="11"/>
                <c:pt idx="0">
                  <c:v>3.1551295590142886E-2</c:v>
                </c:pt>
                <c:pt idx="1">
                  <c:v>2.5667656583879293E-2</c:v>
                </c:pt>
                <c:pt idx="2">
                  <c:v>2.7644621856756382E-2</c:v>
                </c:pt>
                <c:pt idx="3">
                  <c:v>3.1218054209850323E-2</c:v>
                </c:pt>
                <c:pt idx="4">
                  <c:v>3.6165412638481512E-2</c:v>
                </c:pt>
                <c:pt idx="5">
                  <c:v>2.8729734429812352E-2</c:v>
                </c:pt>
                <c:pt idx="6">
                  <c:v>2.7765187272119813E-2</c:v>
                </c:pt>
                <c:pt idx="7">
                  <c:v>3.2902023956332981E-2</c:v>
                </c:pt>
                <c:pt idx="8">
                  <c:v>3.3790523233379659E-2</c:v>
                </c:pt>
                <c:pt idx="9">
                  <c:v>3.5648180299092537E-2</c:v>
                </c:pt>
                <c:pt idx="10">
                  <c:v>4.6758833418008065E-2</c:v>
                </c:pt>
              </c:numCache>
            </c:numRef>
          </c:val>
        </c:ser>
        <c:ser>
          <c:idx val="2"/>
          <c:order val="1"/>
          <c:tx>
            <c:strRef>
              <c:f>Hoja1!$A$17</c:f>
              <c:strCache>
                <c:ptCount val="1"/>
                <c:pt idx="0">
                  <c:v>Participación exportación Servicios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Hoja1!$B$15:$L$15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Hoja1!$B$17:$L$17</c:f>
              <c:numCache>
                <c:formatCode>0.0%</c:formatCode>
                <c:ptCount val="11"/>
                <c:pt idx="0">
                  <c:v>0.18478806217628971</c:v>
                </c:pt>
                <c:pt idx="1">
                  <c:v>0.1938856597184869</c:v>
                </c:pt>
                <c:pt idx="2">
                  <c:v>0.20990391232796926</c:v>
                </c:pt>
                <c:pt idx="3">
                  <c:v>0.18754030766226315</c:v>
                </c:pt>
                <c:pt idx="4">
                  <c:v>0.2361791933772355</c:v>
                </c:pt>
                <c:pt idx="5">
                  <c:v>0.18324314211796858</c:v>
                </c:pt>
                <c:pt idx="6">
                  <c:v>0.17253630766494885</c:v>
                </c:pt>
                <c:pt idx="7">
                  <c:v>0.20662777164653928</c:v>
                </c:pt>
                <c:pt idx="8">
                  <c:v>0.20890891951045679</c:v>
                </c:pt>
                <c:pt idx="9">
                  <c:v>0.24257049654902352</c:v>
                </c:pt>
                <c:pt idx="10">
                  <c:v>0.29762403984821673</c:v>
                </c:pt>
              </c:numCache>
            </c:numRef>
          </c:val>
        </c:ser>
        <c:dLbls>
          <c:showLegendKey val="0"/>
          <c:showVal val="0"/>
          <c:showCatName val="0"/>
          <c:showSerName val="0"/>
          <c:showPercent val="0"/>
          <c:showBubbleSize val="0"/>
        </c:dLbls>
        <c:gapWidth val="219"/>
        <c:overlap val="-27"/>
        <c:axId val="394111048"/>
        <c:axId val="394111440"/>
      </c:barChart>
      <c:catAx>
        <c:axId val="394111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4111440"/>
        <c:crosses val="autoZero"/>
        <c:auto val="1"/>
        <c:lblAlgn val="ctr"/>
        <c:lblOffset val="100"/>
        <c:noMultiLvlLbl val="0"/>
      </c:catAx>
      <c:valAx>
        <c:axId val="39411144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4111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Posición del turismo en las exportaciones de bienes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Hoja1!$A$42</c:f>
              <c:strCache>
                <c:ptCount val="1"/>
                <c:pt idx="0">
                  <c:v>Posición exportaciones bienes</c:v>
                </c:pt>
              </c:strCache>
            </c:strRef>
          </c:tx>
          <c:spPr>
            <a:solidFill>
              <a:schemeClr val="accent1"/>
            </a:solidFill>
            <a:ln>
              <a:noFill/>
            </a:ln>
            <a:effectLst/>
          </c:spPr>
          <c:invertIfNegative val="0"/>
          <c:dLbls>
            <c:dLbl>
              <c:idx val="0"/>
              <c:tx>
                <c:rich>
                  <a:bodyPr/>
                  <a:lstStyle/>
                  <a:p>
                    <a:fld id="{F2180D05-310A-4A13-9DE6-F6BEDB5A75F4}"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F02580FE-8F93-4F48-84EB-568A8E5B4E3B}"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2C2749E6-EDA1-45AA-86A8-12E4AB14E6CD}"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C18E1037-8F42-4E66-91CD-78D440C0AA12}"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fld id="{64CB1AEA-5C79-48C6-9C3B-05A75BDB21C4}"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tx>
                <c:rich>
                  <a:bodyPr/>
                  <a:lstStyle/>
                  <a:p>
                    <a:fld id="{3D3460AF-22A5-49C4-92D9-F517A8B0E985}"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6"/>
              <c:tx>
                <c:rich>
                  <a:bodyPr/>
                  <a:lstStyle/>
                  <a:p>
                    <a:fld id="{AC83E541-1D37-485E-AD38-B2879C46D41D}"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7"/>
              <c:tx>
                <c:rich>
                  <a:bodyPr/>
                  <a:lstStyle/>
                  <a:p>
                    <a:fld id="{427CCDD3-881E-4AA8-852F-742F53E22034}"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8"/>
              <c:tx>
                <c:rich>
                  <a:bodyPr/>
                  <a:lstStyle/>
                  <a:p>
                    <a:fld id="{CD9D4D7A-6FBA-44AD-8F58-5F4C2BBBDA05}"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9"/>
              <c:tx>
                <c:rich>
                  <a:bodyPr/>
                  <a:lstStyle/>
                  <a:p>
                    <a:fld id="{EEDBAA52-C279-4FC3-B040-4EFA04D083CC}"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0"/>
              <c:tx>
                <c:rich>
                  <a:bodyPr/>
                  <a:lstStyle/>
                  <a:p>
                    <a:fld id="{4A21227E-6486-4755-84E6-3A89CDBB8310}"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Hoja1!$B$41:$L$41</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Hoja1!$B$42:$L$42</c:f>
              <c:numCache>
                <c:formatCode>#,##0</c:formatCode>
                <c:ptCount val="11"/>
                <c:pt idx="0">
                  <c:v>8</c:v>
                </c:pt>
                <c:pt idx="1">
                  <c:v>8</c:v>
                </c:pt>
                <c:pt idx="2">
                  <c:v>7</c:v>
                </c:pt>
                <c:pt idx="3">
                  <c:v>7</c:v>
                </c:pt>
                <c:pt idx="4">
                  <c:v>6</c:v>
                </c:pt>
                <c:pt idx="5">
                  <c:v>6</c:v>
                </c:pt>
                <c:pt idx="6">
                  <c:v>6</c:v>
                </c:pt>
                <c:pt idx="7">
                  <c:v>6</c:v>
                </c:pt>
                <c:pt idx="8">
                  <c:v>7</c:v>
                </c:pt>
                <c:pt idx="9">
                  <c:v>7</c:v>
                </c:pt>
                <c:pt idx="10">
                  <c:v>6</c:v>
                </c:pt>
              </c:numCache>
            </c:numRef>
          </c:val>
        </c:ser>
        <c:dLbls>
          <c:showLegendKey val="0"/>
          <c:showVal val="0"/>
          <c:showCatName val="0"/>
          <c:showSerName val="0"/>
          <c:showPercent val="0"/>
          <c:showBubbleSize val="0"/>
        </c:dLbls>
        <c:gapWidth val="219"/>
        <c:overlap val="-27"/>
        <c:axId val="397925592"/>
        <c:axId val="397925984"/>
      </c:barChart>
      <c:catAx>
        <c:axId val="397925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7925984"/>
        <c:crosses val="autoZero"/>
        <c:auto val="1"/>
        <c:lblAlgn val="ctr"/>
        <c:lblOffset val="100"/>
        <c:noMultiLvlLbl val="0"/>
      </c:catAx>
      <c:valAx>
        <c:axId val="397925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7925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0070C0"/>
                </a:solidFill>
                <a:latin typeface="+mn-lt"/>
                <a:ea typeface="+mn-ea"/>
                <a:cs typeface="+mn-cs"/>
              </a:defRPr>
            </a:pPr>
            <a:r>
              <a:rPr lang="es-CL" sz="1400">
                <a:solidFill>
                  <a:srgbClr val="0070C0"/>
                </a:solidFill>
              </a:rPr>
              <a:t>Exportación de Bienes y Turismo (millones de US$)</a:t>
            </a:r>
          </a:p>
        </c:rich>
      </c:tx>
      <c:layout>
        <c:manualLayout>
          <c:xMode val="edge"/>
          <c:yMode val="edge"/>
          <c:x val="0.11727028182563153"/>
          <c:y val="2.1721250648506298E-2"/>
        </c:manualLayout>
      </c:layout>
      <c:overlay val="1"/>
      <c:spPr>
        <a:noFill/>
        <a:ln>
          <a:noFill/>
        </a:ln>
        <a:effectLst/>
      </c:spPr>
      <c:txPr>
        <a:bodyPr rot="0" spcFirstLastPara="1" vertOverflow="ellipsis" vert="horz" wrap="square" anchor="ctr" anchorCtr="1"/>
        <a:lstStyle/>
        <a:p>
          <a:pPr>
            <a:defRPr sz="1400" b="1" i="0" u="none" strike="noStrike" kern="1200" baseline="0">
              <a:solidFill>
                <a:srgbClr val="0070C0"/>
              </a:solidFill>
              <a:latin typeface="+mn-lt"/>
              <a:ea typeface="+mn-ea"/>
              <a:cs typeface="+mn-cs"/>
            </a:defRPr>
          </a:pPr>
          <a:endParaRPr lang="es-CL"/>
        </a:p>
      </c:txPr>
    </c:title>
    <c:autoTitleDeleted val="0"/>
    <c:plotArea>
      <c:layout>
        <c:manualLayout>
          <c:layoutTarget val="inner"/>
          <c:xMode val="edge"/>
          <c:yMode val="edge"/>
          <c:x val="0.41540812923246473"/>
          <c:y val="0.11136192626034611"/>
          <c:w val="0.52622728788735662"/>
          <c:h val="0.78399767749121652"/>
        </c:manualLayout>
      </c:layout>
      <c:barChart>
        <c:barDir val="bar"/>
        <c:grouping val="clustered"/>
        <c:varyColors val="0"/>
        <c:ser>
          <c:idx val="0"/>
          <c:order val="0"/>
          <c:spPr>
            <a:solidFill>
              <a:srgbClr val="0070C0"/>
            </a:solidFill>
            <a:ln w="9525" cap="flat" cmpd="sng" algn="ctr">
              <a:solidFill>
                <a:schemeClr val="lt1">
                  <a:alpha val="50000"/>
                </a:schemeClr>
              </a:solidFill>
              <a:round/>
            </a:ln>
            <a:effectLst/>
          </c:spPr>
          <c:invertIfNegative val="0"/>
          <c:dPt>
            <c:idx val="5"/>
            <c:invertIfNegative val="0"/>
            <c:bubble3D val="0"/>
            <c:spPr>
              <a:solidFill>
                <a:srgbClr val="FF0000"/>
              </a:solidFill>
              <a:ln w="9525" cap="flat" cmpd="sng" algn="ctr">
                <a:solidFill>
                  <a:schemeClr val="lt1">
                    <a:alpha val="50000"/>
                  </a:schemeClr>
                </a:solidFill>
                <a:round/>
              </a:ln>
              <a:effectLst/>
            </c:spPr>
          </c:dPt>
          <c:dPt>
            <c:idx val="6"/>
            <c:invertIfNegative val="0"/>
            <c:bubble3D val="0"/>
            <c:spPr>
              <a:solidFill>
                <a:srgbClr val="0070C0"/>
              </a:solidFill>
              <a:ln w="9525" cap="flat" cmpd="sng" algn="ctr">
                <a:solidFill>
                  <a:schemeClr val="lt1">
                    <a:alpha val="50000"/>
                  </a:schemeClr>
                </a:solidFill>
                <a:round/>
              </a:ln>
              <a:effectLst/>
            </c:spPr>
          </c:dPt>
          <c:dLbls>
            <c:dLbl>
              <c:idx val="1"/>
              <c:layout>
                <c:manualLayout>
                  <c:x val="-2.808398950131233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808398950131233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491640202433394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6.49164020243325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4.6500195762823812E-3"/>
                  <c:y val="-5.5178695402705158E-17"/>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s-CL"/>
                </a:p>
              </c:txPr>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6.49164020243325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6.49164020243325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2.808398950131301E-3"/>
                  <c:y val="-2.7589347701352579E-17"/>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s-C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Gráfico!$I$13:$I$21</c:f>
              <c:strCache>
                <c:ptCount val="9"/>
                <c:pt idx="0">
                  <c:v>Minería</c:v>
                </c:pt>
                <c:pt idx="1">
                  <c:v>Sector frutícola</c:v>
                </c:pt>
                <c:pt idx="2">
                  <c:v>Productos químicos</c:v>
                </c:pt>
                <c:pt idx="3">
                  <c:v>Celulosa, papel y otros</c:v>
                </c:pt>
                <c:pt idx="4">
                  <c:v>Salmón</c:v>
                </c:pt>
                <c:pt idx="5">
                  <c:v>Turismo</c:v>
                </c:pt>
                <c:pt idx="6">
                  <c:v>Productos metálicos, maquinaria y equipos</c:v>
                </c:pt>
                <c:pt idx="7">
                  <c:v>Forestal y muebles de madera</c:v>
                </c:pt>
                <c:pt idx="8">
                  <c:v>Vino</c:v>
                </c:pt>
              </c:strCache>
            </c:strRef>
          </c:cat>
          <c:val>
            <c:numRef>
              <c:f>Gráfico!$J$13:$J$21</c:f>
              <c:numCache>
                <c:formatCode>#,##0</c:formatCode>
                <c:ptCount val="9"/>
                <c:pt idx="0">
                  <c:v>32667.396727870801</c:v>
                </c:pt>
                <c:pt idx="1">
                  <c:v>4548.97892051278</c:v>
                </c:pt>
                <c:pt idx="2">
                  <c:v>4386.3810990134898</c:v>
                </c:pt>
                <c:pt idx="3">
                  <c:v>3165.2199179639701</c:v>
                </c:pt>
                <c:pt idx="4">
                  <c:v>3074.1802717509499</c:v>
                </c:pt>
                <c:pt idx="5">
                  <c:v>2909.8943671842317</c:v>
                </c:pt>
                <c:pt idx="6">
                  <c:v>2450.8852534500702</c:v>
                </c:pt>
                <c:pt idx="7">
                  <c:v>2289.5121968102999</c:v>
                </c:pt>
                <c:pt idx="8">
                  <c:v>1847.8210716923861</c:v>
                </c:pt>
              </c:numCache>
            </c:numRef>
          </c:val>
        </c:ser>
        <c:dLbls>
          <c:dLblPos val="inEnd"/>
          <c:showLegendKey val="0"/>
          <c:showVal val="1"/>
          <c:showCatName val="0"/>
          <c:showSerName val="0"/>
          <c:showPercent val="0"/>
          <c:showBubbleSize val="0"/>
        </c:dLbls>
        <c:gapWidth val="65"/>
        <c:overlap val="13"/>
        <c:axId val="397926768"/>
        <c:axId val="397927160"/>
      </c:barChart>
      <c:catAx>
        <c:axId val="3979267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mn-lt"/>
                <a:ea typeface="+mn-ea"/>
                <a:cs typeface="+mn-cs"/>
              </a:defRPr>
            </a:pPr>
            <a:endParaRPr lang="es-CL"/>
          </a:p>
        </c:txPr>
        <c:crossAx val="397927160"/>
        <c:crosses val="autoZero"/>
        <c:auto val="1"/>
        <c:lblAlgn val="ctr"/>
        <c:lblOffset val="100"/>
        <c:noMultiLvlLbl val="0"/>
      </c:catAx>
      <c:valAx>
        <c:axId val="397927160"/>
        <c:scaling>
          <c:orientation val="minMax"/>
          <c:max val="80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mn-lt"/>
                <a:ea typeface="+mn-ea"/>
                <a:cs typeface="+mn-cs"/>
              </a:defRPr>
            </a:pPr>
            <a:endParaRPr lang="es-CL"/>
          </a:p>
        </c:txPr>
        <c:crossAx val="397926768"/>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63043107149432E-2"/>
          <c:y val="7.9929326132853487E-2"/>
          <c:w val="0.91900702052187033"/>
          <c:h val="0.72017373702670451"/>
        </c:manualLayout>
      </c:layout>
      <c:barChart>
        <c:barDir val="col"/>
        <c:grouping val="clustered"/>
        <c:varyColors val="0"/>
        <c:ser>
          <c:idx val="0"/>
          <c:order val="0"/>
          <c:tx>
            <c:strRef>
              <c:f>PIB!$B$6</c:f>
              <c:strCache>
                <c:ptCount val="1"/>
                <c:pt idx="0">
                  <c:v>PIB Directo (%)</c:v>
                </c:pt>
              </c:strCache>
            </c:strRef>
          </c:tx>
          <c:spPr>
            <a:solidFill>
              <a:srgbClr val="A2344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PIB!$A$21:$A$28</c:f>
              <c:strCache>
                <c:ptCount val="8"/>
                <c:pt idx="0">
                  <c:v>APEC</c:v>
                </c:pt>
                <c:pt idx="1">
                  <c:v>Mundo</c:v>
                </c:pt>
                <c:pt idx="2">
                  <c:v>Americas</c:v>
                </c:pt>
                <c:pt idx="3">
                  <c:v>OECD</c:v>
                </c:pt>
                <c:pt idx="4">
                  <c:v>América Latina</c:v>
                </c:pt>
                <c:pt idx="5">
                  <c:v>Chile</c:v>
                </c:pt>
                <c:pt idx="6">
                  <c:v>Europa</c:v>
                </c:pt>
                <c:pt idx="7">
                  <c:v>Alianza del Pacífico</c:v>
                </c:pt>
              </c:strCache>
            </c:strRef>
          </c:cat>
          <c:val>
            <c:numRef>
              <c:f>PIB!$B$21:$B$28</c:f>
              <c:numCache>
                <c:formatCode>0.0%</c:formatCode>
                <c:ptCount val="8"/>
                <c:pt idx="0">
                  <c:v>2.7E-2</c:v>
                </c:pt>
                <c:pt idx="1">
                  <c:v>0.03</c:v>
                </c:pt>
                <c:pt idx="2">
                  <c:v>0.03</c:v>
                </c:pt>
                <c:pt idx="3">
                  <c:v>3.2000000000000001E-2</c:v>
                </c:pt>
                <c:pt idx="4">
                  <c:v>3.3000000000000002E-2</c:v>
                </c:pt>
                <c:pt idx="5">
                  <c:v>3.4000000000000002E-2</c:v>
                </c:pt>
                <c:pt idx="6">
                  <c:v>3.5000000000000003E-2</c:v>
                </c:pt>
                <c:pt idx="7">
                  <c:v>5.3999999999999999E-2</c:v>
                </c:pt>
              </c:numCache>
            </c:numRef>
          </c:val>
        </c:ser>
        <c:ser>
          <c:idx val="1"/>
          <c:order val="1"/>
          <c:tx>
            <c:strRef>
              <c:f>PIB!$C$6</c:f>
              <c:strCache>
                <c:ptCount val="1"/>
                <c:pt idx="0">
                  <c:v>PIB Total (%)</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PIB!$A$21:$A$28</c:f>
              <c:strCache>
                <c:ptCount val="8"/>
                <c:pt idx="0">
                  <c:v>APEC</c:v>
                </c:pt>
                <c:pt idx="1">
                  <c:v>Mundo</c:v>
                </c:pt>
                <c:pt idx="2">
                  <c:v>Americas</c:v>
                </c:pt>
                <c:pt idx="3">
                  <c:v>OECD</c:v>
                </c:pt>
                <c:pt idx="4">
                  <c:v>América Latina</c:v>
                </c:pt>
                <c:pt idx="5">
                  <c:v>Chile</c:v>
                </c:pt>
                <c:pt idx="6">
                  <c:v>Europa</c:v>
                </c:pt>
                <c:pt idx="7">
                  <c:v>Alianza del Pacífico</c:v>
                </c:pt>
              </c:strCache>
            </c:strRef>
          </c:cat>
          <c:val>
            <c:numRef>
              <c:f>PIB!$C$21:$C$28</c:f>
              <c:numCache>
                <c:formatCode>0.0%</c:formatCode>
                <c:ptCount val="8"/>
                <c:pt idx="0">
                  <c:v>8.4000000000000005E-2</c:v>
                </c:pt>
                <c:pt idx="1">
                  <c:v>9.8000000000000004E-2</c:v>
                </c:pt>
                <c:pt idx="2">
                  <c:v>8.5999999999999993E-2</c:v>
                </c:pt>
                <c:pt idx="3">
                  <c:v>0.09</c:v>
                </c:pt>
                <c:pt idx="4">
                  <c:v>0.09</c:v>
                </c:pt>
                <c:pt idx="5">
                  <c:v>0.10199999999999999</c:v>
                </c:pt>
                <c:pt idx="6">
                  <c:v>9.6000000000000002E-2</c:v>
                </c:pt>
                <c:pt idx="7">
                  <c:v>0.125</c:v>
                </c:pt>
              </c:numCache>
            </c:numRef>
          </c:val>
        </c:ser>
        <c:dLbls>
          <c:showLegendKey val="0"/>
          <c:showVal val="0"/>
          <c:showCatName val="0"/>
          <c:showSerName val="0"/>
          <c:showPercent val="0"/>
          <c:showBubbleSize val="0"/>
        </c:dLbls>
        <c:gapWidth val="97"/>
        <c:axId val="397927944"/>
        <c:axId val="397928336"/>
      </c:barChart>
      <c:catAx>
        <c:axId val="397927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7928336"/>
        <c:crosses val="autoZero"/>
        <c:auto val="1"/>
        <c:lblAlgn val="ctr"/>
        <c:lblOffset val="100"/>
        <c:noMultiLvlLbl val="0"/>
      </c:catAx>
      <c:valAx>
        <c:axId val="3979283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CL"/>
          </a:p>
        </c:txPr>
        <c:crossAx val="397927944"/>
        <c:crosses val="autoZero"/>
        <c:crossBetween val="between"/>
      </c:valAx>
      <c:spPr>
        <a:noFill/>
        <a:ln>
          <a:noFill/>
        </a:ln>
        <a:effectLst/>
      </c:spPr>
    </c:plotArea>
    <c:legend>
      <c:legendPos val="b"/>
      <c:layout>
        <c:manualLayout>
          <c:xMode val="edge"/>
          <c:yMode val="edge"/>
          <c:x val="0.20252101130859573"/>
          <c:y val="5.8000711665173808E-2"/>
          <c:w val="0.57906277835180109"/>
          <c:h val="6.18725456854008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75933263264553E-2"/>
          <c:y val="0.15396224726646673"/>
          <c:w val="0.89725460505219667"/>
          <c:h val="0.74222011129738985"/>
        </c:manualLayout>
      </c:layout>
      <c:barChart>
        <c:barDir val="col"/>
        <c:grouping val="clustered"/>
        <c:varyColors val="0"/>
        <c:ser>
          <c:idx val="0"/>
          <c:order val="0"/>
          <c:tx>
            <c:strRef>
              <c:f>Empleo!$B$5</c:f>
              <c:strCache>
                <c:ptCount val="1"/>
                <c:pt idx="0">
                  <c:v>Empleo Directo (%)</c:v>
                </c:pt>
              </c:strCache>
            </c:strRef>
          </c:tx>
          <c:spPr>
            <a:solidFill>
              <a:srgbClr val="A2344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Empleo!$A$20:$A$27</c:f>
              <c:strCache>
                <c:ptCount val="8"/>
                <c:pt idx="0">
                  <c:v>América Latina</c:v>
                </c:pt>
                <c:pt idx="1">
                  <c:v>APEC</c:v>
                </c:pt>
                <c:pt idx="2">
                  <c:v>Chile</c:v>
                </c:pt>
                <c:pt idx="3">
                  <c:v>Mundo</c:v>
                </c:pt>
                <c:pt idx="4">
                  <c:v>Europa</c:v>
                </c:pt>
                <c:pt idx="5">
                  <c:v>Americas</c:v>
                </c:pt>
                <c:pt idx="6">
                  <c:v>OECD</c:v>
                </c:pt>
                <c:pt idx="7">
                  <c:v>Alianza del Pacífico</c:v>
                </c:pt>
              </c:strCache>
            </c:strRef>
          </c:cat>
          <c:val>
            <c:numRef>
              <c:f>Empleo!$B$20:$B$27</c:f>
              <c:numCache>
                <c:formatCode>0.0%</c:formatCode>
                <c:ptCount val="8"/>
                <c:pt idx="0">
                  <c:v>2.9000000000000001E-2</c:v>
                </c:pt>
                <c:pt idx="1">
                  <c:v>3.2000000000000001E-2</c:v>
                </c:pt>
                <c:pt idx="2">
                  <c:v>3.4000000000000002E-2</c:v>
                </c:pt>
                <c:pt idx="3">
                  <c:v>3.5999999999999997E-2</c:v>
                </c:pt>
                <c:pt idx="4">
                  <c:v>3.5999999999999997E-2</c:v>
                </c:pt>
                <c:pt idx="5">
                  <c:v>3.7999999999999999E-2</c:v>
                </c:pt>
                <c:pt idx="6">
                  <c:v>4.2999999999999997E-2</c:v>
                </c:pt>
                <c:pt idx="7">
                  <c:v>5.1999999999999998E-2</c:v>
                </c:pt>
              </c:numCache>
            </c:numRef>
          </c:val>
        </c:ser>
        <c:ser>
          <c:idx val="1"/>
          <c:order val="1"/>
          <c:tx>
            <c:strRef>
              <c:f>Empleo!$C$5</c:f>
              <c:strCache>
                <c:ptCount val="1"/>
                <c:pt idx="0">
                  <c:v>Empleo Total (%)</c:v>
                </c:pt>
              </c:strCache>
            </c:strRef>
          </c:tx>
          <c:spPr>
            <a:solidFill>
              <a:schemeClr val="accent1"/>
            </a:solidFill>
            <a:ln>
              <a:noFill/>
            </a:ln>
            <a:effectLst/>
          </c:spPr>
          <c:invertIfNegative val="0"/>
          <c:dLbls>
            <c:dLbl>
              <c:idx val="2"/>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Empleo!$A$20:$A$27</c:f>
              <c:strCache>
                <c:ptCount val="8"/>
                <c:pt idx="0">
                  <c:v>América Latina</c:v>
                </c:pt>
                <c:pt idx="1">
                  <c:v>APEC</c:v>
                </c:pt>
                <c:pt idx="2">
                  <c:v>Chile</c:v>
                </c:pt>
                <c:pt idx="3">
                  <c:v>Mundo</c:v>
                </c:pt>
                <c:pt idx="4">
                  <c:v>Europa</c:v>
                </c:pt>
                <c:pt idx="5">
                  <c:v>Americas</c:v>
                </c:pt>
                <c:pt idx="6">
                  <c:v>OECD</c:v>
                </c:pt>
                <c:pt idx="7">
                  <c:v>Alianza del Pacífico</c:v>
                </c:pt>
              </c:strCache>
            </c:strRef>
          </c:cat>
          <c:val>
            <c:numRef>
              <c:f>Empleo!$C$20:$C$27</c:f>
              <c:numCache>
                <c:formatCode>0.0%</c:formatCode>
                <c:ptCount val="8"/>
                <c:pt idx="0">
                  <c:v>0.08</c:v>
                </c:pt>
                <c:pt idx="1">
                  <c:v>0.09</c:v>
                </c:pt>
                <c:pt idx="2">
                  <c:v>9.8000000000000004E-2</c:v>
                </c:pt>
                <c:pt idx="3">
                  <c:v>9.5000000000000001E-2</c:v>
                </c:pt>
                <c:pt idx="4">
                  <c:v>9.0999999999999998E-2</c:v>
                </c:pt>
                <c:pt idx="5">
                  <c:v>9.7000000000000003E-2</c:v>
                </c:pt>
                <c:pt idx="6">
                  <c:v>0.104</c:v>
                </c:pt>
                <c:pt idx="7">
                  <c:v>0.11899999999999999</c:v>
                </c:pt>
              </c:numCache>
            </c:numRef>
          </c:val>
        </c:ser>
        <c:dLbls>
          <c:showLegendKey val="0"/>
          <c:showVal val="0"/>
          <c:showCatName val="0"/>
          <c:showSerName val="0"/>
          <c:showPercent val="0"/>
          <c:showBubbleSize val="0"/>
        </c:dLbls>
        <c:gapWidth val="97"/>
        <c:axId val="397929120"/>
        <c:axId val="400436000"/>
      </c:barChart>
      <c:catAx>
        <c:axId val="39792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crossAx val="400436000"/>
        <c:crosses val="autoZero"/>
        <c:auto val="1"/>
        <c:lblAlgn val="ctr"/>
        <c:lblOffset val="100"/>
        <c:noMultiLvlLbl val="0"/>
      </c:catAx>
      <c:valAx>
        <c:axId val="4004360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s-CL"/>
          </a:p>
        </c:txPr>
        <c:crossAx val="397929120"/>
        <c:crosses val="autoZero"/>
        <c:crossBetween val="between"/>
      </c:valAx>
      <c:spPr>
        <a:noFill/>
        <a:ln>
          <a:noFill/>
        </a:ln>
        <a:effectLst/>
      </c:spPr>
    </c:plotArea>
    <c:legend>
      <c:legendPos val="b"/>
      <c:layout>
        <c:manualLayout>
          <c:xMode val="edge"/>
          <c:yMode val="edge"/>
          <c:x val="0.18949726750648385"/>
          <c:y val="6.5666766713416744E-2"/>
          <c:w val="0.40231939430583319"/>
          <c:h val="6.18725456854008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s-C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Ocupados Hoteles y Restaurantes</a:t>
            </a:r>
          </a:p>
          <a:p>
            <a:pPr>
              <a:defRPr/>
            </a:pPr>
            <a:r>
              <a:rPr lang="es-CL"/>
              <a:t>trimestre móvil</a:t>
            </a:r>
            <a:r>
              <a:rPr lang="es-CL" baseline="0"/>
              <a:t> Febrero - Abril cada año</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1"/>
          <c:order val="1"/>
          <c:tx>
            <c:strRef>
              <c:f>Hoja4!$A$4</c:f>
              <c:strCache>
                <c:ptCount val="1"/>
                <c:pt idx="0">
                  <c:v>Variación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Hoja4!$B$2:$G$2</c:f>
              <c:numCache>
                <c:formatCode>General</c:formatCode>
                <c:ptCount val="6"/>
                <c:pt idx="0">
                  <c:v>2011</c:v>
                </c:pt>
                <c:pt idx="1">
                  <c:v>2012</c:v>
                </c:pt>
                <c:pt idx="2">
                  <c:v>2013</c:v>
                </c:pt>
                <c:pt idx="3">
                  <c:v>2014</c:v>
                </c:pt>
                <c:pt idx="4">
                  <c:v>2015</c:v>
                </c:pt>
                <c:pt idx="5">
                  <c:v>2016</c:v>
                </c:pt>
              </c:numCache>
            </c:numRef>
          </c:cat>
          <c:val>
            <c:numRef>
              <c:f>Hoja4!$B$4:$G$4</c:f>
              <c:numCache>
                <c:formatCode>0.0%</c:formatCode>
                <c:ptCount val="6"/>
                <c:pt idx="0">
                  <c:v>7.6542486324873371E-2</c:v>
                </c:pt>
                <c:pt idx="1">
                  <c:v>6.8350645200740079E-2</c:v>
                </c:pt>
                <c:pt idx="2">
                  <c:v>2.8809547547569814E-2</c:v>
                </c:pt>
                <c:pt idx="3">
                  <c:v>-3.255388259784997E-3</c:v>
                </c:pt>
                <c:pt idx="4">
                  <c:v>5.4910193440592225E-2</c:v>
                </c:pt>
                <c:pt idx="5">
                  <c:v>0.21360131350334699</c:v>
                </c:pt>
              </c:numCache>
            </c:numRef>
          </c:val>
        </c:ser>
        <c:dLbls>
          <c:showLegendKey val="0"/>
          <c:showVal val="0"/>
          <c:showCatName val="0"/>
          <c:showSerName val="0"/>
          <c:showPercent val="0"/>
          <c:showBubbleSize val="0"/>
        </c:dLbls>
        <c:gapWidth val="219"/>
        <c:axId val="400437960"/>
        <c:axId val="400437568"/>
      </c:barChart>
      <c:lineChart>
        <c:grouping val="standard"/>
        <c:varyColors val="0"/>
        <c:ser>
          <c:idx val="0"/>
          <c:order val="0"/>
          <c:tx>
            <c:strRef>
              <c:f>Hoja4!$A$3</c:f>
              <c:strCache>
                <c:ptCount val="1"/>
                <c:pt idx="0">
                  <c:v>Total</c:v>
                </c:pt>
              </c:strCache>
            </c:strRef>
          </c:tx>
          <c:spPr>
            <a:ln w="28575" cap="rnd">
              <a:solidFill>
                <a:schemeClr val="accent1"/>
              </a:solidFill>
              <a:round/>
            </a:ln>
            <a:effectLst/>
          </c:spPr>
          <c:marker>
            <c:symbol val="none"/>
          </c:marker>
          <c:cat>
            <c:numRef>
              <c:f>Hoja4!$B$2:$G$2</c:f>
              <c:numCache>
                <c:formatCode>General</c:formatCode>
                <c:ptCount val="6"/>
                <c:pt idx="0">
                  <c:v>2011</c:v>
                </c:pt>
                <c:pt idx="1">
                  <c:v>2012</c:v>
                </c:pt>
                <c:pt idx="2">
                  <c:v>2013</c:v>
                </c:pt>
                <c:pt idx="3">
                  <c:v>2014</c:v>
                </c:pt>
                <c:pt idx="4">
                  <c:v>2015</c:v>
                </c:pt>
                <c:pt idx="5">
                  <c:v>2016</c:v>
                </c:pt>
              </c:numCache>
            </c:numRef>
          </c:cat>
          <c:val>
            <c:numRef>
              <c:f>Hoja4!$B$3:$G$3</c:f>
              <c:numCache>
                <c:formatCode>#,##0</c:formatCode>
                <c:ptCount val="6"/>
                <c:pt idx="0">
                  <c:v>253487</c:v>
                </c:pt>
                <c:pt idx="1">
                  <c:v>270813</c:v>
                </c:pt>
                <c:pt idx="2">
                  <c:v>278615</c:v>
                </c:pt>
                <c:pt idx="3">
                  <c:v>277708</c:v>
                </c:pt>
                <c:pt idx="4">
                  <c:v>292957</c:v>
                </c:pt>
                <c:pt idx="5">
                  <c:v>355533</c:v>
                </c:pt>
              </c:numCache>
            </c:numRef>
          </c:val>
          <c:smooth val="0"/>
        </c:ser>
        <c:dLbls>
          <c:showLegendKey val="0"/>
          <c:showVal val="0"/>
          <c:showCatName val="0"/>
          <c:showSerName val="0"/>
          <c:showPercent val="0"/>
          <c:showBubbleSize val="0"/>
        </c:dLbls>
        <c:marker val="1"/>
        <c:smooth val="0"/>
        <c:axId val="400436784"/>
        <c:axId val="400437176"/>
      </c:lineChart>
      <c:catAx>
        <c:axId val="40043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37176"/>
        <c:crosses val="autoZero"/>
        <c:auto val="1"/>
        <c:lblAlgn val="ctr"/>
        <c:lblOffset val="100"/>
        <c:noMultiLvlLbl val="0"/>
      </c:catAx>
      <c:valAx>
        <c:axId val="400437176"/>
        <c:scaling>
          <c:orientation val="minMax"/>
          <c:max val="450000"/>
          <c:min val="1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36784"/>
        <c:crosses val="autoZero"/>
        <c:crossBetween val="between"/>
      </c:valAx>
      <c:valAx>
        <c:axId val="400437568"/>
        <c:scaling>
          <c:orientation val="minMax"/>
          <c:max val="0.25"/>
          <c:min val="-0.8"/>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37960"/>
        <c:crosses val="max"/>
        <c:crossBetween val="between"/>
      </c:valAx>
      <c:catAx>
        <c:axId val="400437960"/>
        <c:scaling>
          <c:orientation val="minMax"/>
        </c:scaling>
        <c:delete val="1"/>
        <c:axPos val="b"/>
        <c:numFmt formatCode="General" sourceLinked="1"/>
        <c:majorTickMark val="out"/>
        <c:minorTickMark val="none"/>
        <c:tickLblPos val="nextTo"/>
        <c:crossAx val="4004375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0.85282</cdr:x>
      <cdr:y>0.82159</cdr:y>
    </cdr:from>
    <cdr:to>
      <cdr:x>0.91684</cdr:x>
      <cdr:y>0.89007</cdr:y>
    </cdr:to>
    <cdr:grpSp>
      <cdr:nvGrpSpPr>
        <cdr:cNvPr id="7" name="16 Grupo"/>
        <cdr:cNvGrpSpPr>
          <a:grpSpLocks xmlns:a="http://schemas.openxmlformats.org/drawingml/2006/main"/>
        </cdr:cNvGrpSpPr>
      </cdr:nvGrpSpPr>
      <cdr:grpSpPr bwMode="auto">
        <a:xfrm xmlns:a="http://schemas.openxmlformats.org/drawingml/2006/main" rot="8468197">
          <a:off x="4787222" y="3127650"/>
          <a:ext cx="359391" cy="260685"/>
          <a:chOff x="5125639" y="5654659"/>
          <a:chExt cx="1476843" cy="315848"/>
        </a:xfrm>
        <a:solidFill xmlns:a="http://schemas.openxmlformats.org/drawingml/2006/main">
          <a:schemeClr val="bg1"/>
        </a:solidFill>
      </cdr:grpSpPr>
      <cdr:sp macro="" textlink="">
        <cdr:nvSpPr>
          <cdr:cNvPr id="3" name="17 Forma libre"/>
          <cdr:cNvSpPr/>
        </cdr:nvSpPr>
        <cdr:spPr bwMode="white">
          <a:xfrm xmlns:a="http://schemas.openxmlformats.org/drawingml/2006/main">
            <a:off x="5216775" y="5661275"/>
            <a:ext cx="1325141" cy="293472"/>
          </a:xfrm>
          <a:custGeom xmlns:a="http://schemas.openxmlformats.org/drawingml/2006/main">
            <a:avLst/>
            <a:gdLst/>
            <a:ahLst/>
            <a:cxnLst/>
            <a:rect l="0" t="0" r="0" b="0"/>
            <a:pathLst>
              <a:path w="711201" h="247651">
                <a:moveTo>
                  <a:pt x="0" y="190500"/>
                </a:moveTo>
                <a:lnTo>
                  <a:pt x="711200" y="0"/>
                </a:lnTo>
                <a:lnTo>
                  <a:pt x="711200" y="57150"/>
                </a:lnTo>
                <a:lnTo>
                  <a:pt x="0" y="247650"/>
                </a:lnTo>
                <a:close/>
              </a:path>
            </a:pathLst>
          </a:custGeom>
          <a:grpFill xmlns:a="http://schemas.openxmlformats.org/drawingml/2006/main"/>
          <a:ln xmlns:a="http://schemas.openxmlformats.org/drawingml/2006/main" w="9525" cap="flat" cmpd="sng" algn="ctr">
            <a:noFill/>
            <a:prstDash val="solid"/>
          </a:ln>
          <a:effectLst xmlns:a="http://schemas.openxmlformats.org/drawingml/2006/main"/>
          <a:extLst xmlns:a="http://schemas.openxmlformats.org/drawingml/2006/mai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p xmlns:a="http://schemas.openxmlformats.org/drawingml/2006/main">
            <a:endParaRPr lang="es-CL"/>
          </a:p>
        </cdr:txBody>
      </cdr:sp>
      <cdr:sp macro="" textlink="">
        <cdr:nvSpPr>
          <cdr:cNvPr id="4" name="18 Forma libre"/>
          <cdr:cNvSpPr/>
        </cdr:nvSpPr>
        <cdr:spPr bwMode="auto">
          <a:xfrm xmlns:a="http://schemas.openxmlformats.org/drawingml/2006/main">
            <a:off x="5125639" y="5654659"/>
            <a:ext cx="1325145" cy="226264"/>
          </a:xfrm>
          <a:custGeom xmlns:a="http://schemas.openxmlformats.org/drawingml/2006/main">
            <a:avLst/>
            <a:gdLst/>
            <a:ahLst/>
            <a:cxnLst/>
            <a:rect l="0" t="0" r="0" b="0"/>
            <a:pathLst>
              <a:path w="711201" h="190501">
                <a:moveTo>
                  <a:pt x="0" y="190500"/>
                </a:moveTo>
                <a:lnTo>
                  <a:pt x="711200" y="0"/>
                </a:lnTo>
              </a:path>
            </a:pathLst>
          </a:custGeom>
          <a:grpFill xmlns:a="http://schemas.openxmlformats.org/drawingml/2006/main"/>
          <a:ln xmlns:a="http://schemas.openxmlformats.org/drawingml/2006/main" w="9525">
            <a:solidFill>
              <a:schemeClr val="tx1"/>
            </a:solidFill>
            <a:headEnd type="none"/>
            <a:tailEnd type="none"/>
          </a:ln>
          <a:effectLst xmlns:a="http://schemas.openxmlformats.org/drawingml/2006/main"/>
          <a:ex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nchor="ctr"/>
          <a:lstStyle xmlns:a="http://schemas.openxmlformats.org/drawingml/2006/main"/>
          <a:p xmlns:a="http://schemas.openxmlformats.org/drawingml/2006/main">
            <a:endParaRPr lang="es-CL"/>
          </a:p>
        </cdr:txBody>
      </cdr:sp>
      <cdr:sp macro="" textlink="">
        <cdr:nvSpPr>
          <cdr:cNvPr id="5" name="20 Forma libre"/>
          <cdr:cNvSpPr/>
        </cdr:nvSpPr>
        <cdr:spPr bwMode="auto">
          <a:xfrm xmlns:a="http://schemas.openxmlformats.org/drawingml/2006/main">
            <a:off x="5277337" y="5744242"/>
            <a:ext cx="1325145" cy="226265"/>
          </a:xfrm>
          <a:custGeom xmlns:a="http://schemas.openxmlformats.org/drawingml/2006/main">
            <a:avLst/>
            <a:gdLst/>
            <a:ahLst/>
            <a:cxnLst/>
            <a:rect l="0" t="0" r="0" b="0"/>
            <a:pathLst>
              <a:path w="711201" h="190501">
                <a:moveTo>
                  <a:pt x="0" y="190500"/>
                </a:moveTo>
                <a:lnTo>
                  <a:pt x="711200" y="0"/>
                </a:lnTo>
              </a:path>
            </a:pathLst>
          </a:custGeom>
          <a:grpFill xmlns:a="http://schemas.openxmlformats.org/drawingml/2006/main"/>
          <a:ln xmlns:a="http://schemas.openxmlformats.org/drawingml/2006/main" w="9525">
            <a:solidFill>
              <a:schemeClr val="tx1"/>
            </a:solidFill>
            <a:headEnd type="none"/>
            <a:tailEnd type="none"/>
          </a:ln>
          <a:effectLst xmlns:a="http://schemas.openxmlformats.org/drawingml/2006/main"/>
          <a:ex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nchor="ctr"/>
          <a:lstStyle xmlns:a="http://schemas.openxmlformats.org/drawingml/2006/main"/>
          <a:p xmlns:a="http://schemas.openxmlformats.org/drawingml/2006/main">
            <a:endParaRPr lang="es-CL"/>
          </a:p>
        </cdr:txBody>
      </cdr:sp>
    </cdr:grpSp>
  </cdr:relSizeAnchor>
  <cdr:relSizeAnchor xmlns:cdr="http://schemas.openxmlformats.org/drawingml/2006/chartDrawing">
    <cdr:from>
      <cdr:x>0.88337</cdr:x>
      <cdr:y>0.89747</cdr:y>
    </cdr:from>
    <cdr:to>
      <cdr:x>0.97907</cdr:x>
      <cdr:y>0.9583</cdr:y>
    </cdr:to>
    <cdr:sp macro="" textlink="">
      <cdr:nvSpPr>
        <cdr:cNvPr id="6" name="4 CuadroTexto"/>
        <cdr:cNvSpPr txBox="1"/>
      </cdr:nvSpPr>
      <cdr:spPr>
        <a:xfrm xmlns:a="http://schemas.openxmlformats.org/drawingml/2006/main">
          <a:off x="4958732" y="3416511"/>
          <a:ext cx="537193" cy="231564"/>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s-CL" sz="900">
              <a:solidFill>
                <a:srgbClr val="0070C0"/>
              </a:solidFill>
            </a:rPr>
            <a:t>32.667</a:t>
          </a:r>
        </a:p>
      </cdr:txBody>
    </cdr:sp>
  </cdr:relSizeAnchor>
  <cdr:relSizeAnchor xmlns:cdr="http://schemas.openxmlformats.org/drawingml/2006/chartDrawing">
    <cdr:from>
      <cdr:x>0.83656</cdr:x>
      <cdr:y>0.15162</cdr:y>
    </cdr:from>
    <cdr:to>
      <cdr:x>0.95668</cdr:x>
      <cdr:y>0.46501</cdr:y>
    </cdr:to>
    <cdr:pic>
      <cdr:nvPicPr>
        <cdr:cNvPr id="8" name="Picture 8"/>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clrChange>
            <a:clrFrom>
              <a:srgbClr val="F8F8F8"/>
            </a:clrFrom>
            <a:clrTo>
              <a:srgbClr val="F8F8F8">
                <a:alpha val="0"/>
              </a:srgbClr>
            </a:clrTo>
          </a:clrChange>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768972" y="639778"/>
          <a:ext cx="828360" cy="1322372"/>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pic>
  </cdr:relSizeAnchor>
  <cdr:relSizeAnchor xmlns:cdr="http://schemas.openxmlformats.org/drawingml/2006/chartDrawing">
    <cdr:from>
      <cdr:x>0.68094</cdr:x>
      <cdr:y>0.39504</cdr:y>
    </cdr:from>
    <cdr:to>
      <cdr:x>0.83702</cdr:x>
      <cdr:y>0.43341</cdr:y>
    </cdr:to>
    <cdr:sp macro="" textlink="">
      <cdr:nvSpPr>
        <cdr:cNvPr id="9" name="Flecha derecha 8"/>
        <cdr:cNvSpPr/>
      </cdr:nvSpPr>
      <cdr:spPr>
        <a:xfrm xmlns:a="http://schemas.openxmlformats.org/drawingml/2006/main">
          <a:off x="4695812" y="1666885"/>
          <a:ext cx="1076343" cy="161905"/>
        </a:xfrm>
        <a:prstGeom xmlns:a="http://schemas.openxmlformats.org/drawingml/2006/main" prst="rightArrow">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CL"/>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6D52-BEA3-4796-802D-8F4B3616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1582</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10263</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10</cp:revision>
  <cp:lastPrinted>2016-05-30T19:56:00Z</cp:lastPrinted>
  <dcterms:created xsi:type="dcterms:W3CDTF">2016-06-22T13:23:00Z</dcterms:created>
  <dcterms:modified xsi:type="dcterms:W3CDTF">2016-06-30T13:02:00Z</dcterms:modified>
</cp:coreProperties>
</file>