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4E3FA" w14:textId="2C000F2A" w:rsidR="00D46F3A" w:rsidRDefault="00006632" w:rsidP="00006632">
      <w:pPr>
        <w:spacing w:after="0"/>
        <w:jc w:val="center"/>
        <w:rPr>
          <w:b/>
          <w:sz w:val="28"/>
          <w:szCs w:val="28"/>
        </w:rPr>
      </w:pPr>
      <w:r w:rsidRPr="00006632">
        <w:rPr>
          <w:b/>
          <w:sz w:val="28"/>
          <w:szCs w:val="28"/>
        </w:rPr>
        <w:t>Minuta</w:t>
      </w:r>
    </w:p>
    <w:p w14:paraId="00A36DC0" w14:textId="24B56629" w:rsidR="002D789F" w:rsidRDefault="002D789F" w:rsidP="0000663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Áreas Silvestres </w:t>
      </w:r>
    </w:p>
    <w:p w14:paraId="5E1D0C2C" w14:textId="77777777" w:rsidR="002D789F" w:rsidRDefault="002D789F" w:rsidP="002D789F">
      <w:pPr>
        <w:spacing w:after="0"/>
        <w:jc w:val="both"/>
      </w:pPr>
    </w:p>
    <w:p w14:paraId="1A8CA063" w14:textId="77777777" w:rsidR="002D789F" w:rsidRDefault="002D789F" w:rsidP="002D789F">
      <w:pPr>
        <w:spacing w:after="0"/>
        <w:jc w:val="both"/>
        <w:rPr>
          <w:rFonts w:asciiTheme="minorHAnsi" w:hAnsiTheme="minorHAnsi"/>
          <w:lang w:val="es-ES_tradnl"/>
        </w:rPr>
      </w:pPr>
      <w:r w:rsidRPr="00DA1E7D">
        <w:rPr>
          <w:rFonts w:asciiTheme="minorHAnsi" w:hAnsiTheme="minorHAnsi"/>
        </w:rPr>
        <w:t>Durante 2015 ingresaron a Chile un total de 4.478.336</w:t>
      </w:r>
      <w:r>
        <w:rPr>
          <w:rStyle w:val="Refdenotaalpie"/>
          <w:rFonts w:asciiTheme="minorHAnsi" w:hAnsiTheme="minorHAnsi"/>
        </w:rPr>
        <w:footnoteReference w:id="1"/>
      </w:r>
      <w:r w:rsidRPr="00DA1E7D">
        <w:rPr>
          <w:rFonts w:asciiTheme="minorHAnsi" w:hAnsiTheme="minorHAnsi"/>
        </w:rPr>
        <w:t xml:space="preserve"> turistas extranjeros, en su gran mayoría provenientes de países de América Latina, región que aporta con más de dos tercios del total de llegadas. Entre los años 200</w:t>
      </w:r>
      <w:r>
        <w:rPr>
          <w:rFonts w:asciiTheme="minorHAnsi" w:hAnsiTheme="minorHAnsi"/>
        </w:rPr>
        <w:t>5</w:t>
      </w:r>
      <w:r w:rsidRPr="00DA1E7D">
        <w:rPr>
          <w:rFonts w:asciiTheme="minorHAnsi" w:hAnsiTheme="minorHAnsi"/>
        </w:rPr>
        <w:t xml:space="preserve"> y 2015 el aumento de llegadas de turistas internacionales al país se ha</w:t>
      </w:r>
      <w:r>
        <w:rPr>
          <w:rFonts w:asciiTheme="minorHAnsi" w:hAnsiTheme="minorHAnsi"/>
        </w:rPr>
        <w:t xml:space="preserve"> más que duplicado, presentando</w:t>
      </w:r>
      <w:r w:rsidRPr="00DA1E7D">
        <w:rPr>
          <w:rFonts w:asciiTheme="minorHAnsi" w:hAnsiTheme="minorHAnsi"/>
        </w:rPr>
        <w:t xml:space="preserve"> un crecimiento promedio </w:t>
      </w:r>
      <w:r w:rsidRPr="00372508">
        <w:rPr>
          <w:rFonts w:asciiTheme="minorHAnsi" w:hAnsiTheme="minorHAnsi"/>
        </w:rPr>
        <w:t xml:space="preserve">anual de un </w:t>
      </w:r>
      <w:r>
        <w:rPr>
          <w:rFonts w:asciiTheme="minorHAnsi" w:hAnsiTheme="minorHAnsi"/>
        </w:rPr>
        <w:t>8</w:t>
      </w:r>
      <w:r w:rsidRPr="00372508">
        <w:rPr>
          <w:rFonts w:asciiTheme="minorHAnsi" w:hAnsiTheme="minorHAnsi"/>
        </w:rPr>
        <w:t>,</w:t>
      </w:r>
      <w:r>
        <w:rPr>
          <w:rFonts w:asciiTheme="minorHAnsi" w:hAnsiTheme="minorHAnsi"/>
        </w:rPr>
        <w:t>0</w:t>
      </w:r>
      <w:r w:rsidRPr="00372508">
        <w:rPr>
          <w:rFonts w:asciiTheme="minorHAnsi" w:hAnsiTheme="minorHAnsi"/>
        </w:rPr>
        <w:t>%</w:t>
      </w:r>
      <w:r>
        <w:rPr>
          <w:rFonts w:asciiTheme="minorHAnsi" w:hAnsiTheme="minorHAnsi"/>
        </w:rPr>
        <w:t xml:space="preserve"> en este período</w:t>
      </w:r>
      <w:r w:rsidRPr="00372508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Pr="00DA1E7D">
        <w:rPr>
          <w:rFonts w:asciiTheme="minorHAnsi" w:hAnsiTheme="minorHAnsi"/>
        </w:rPr>
        <w:t xml:space="preserve">El incremento en la llegada de turistas ha estado acompañado con incrementos en el ingreso de divisas provenientes del gasto de los turistas extranjeros. </w:t>
      </w:r>
      <w:r w:rsidRPr="00DA1E7D">
        <w:rPr>
          <w:rFonts w:asciiTheme="minorHAnsi" w:hAnsiTheme="minorHAnsi"/>
          <w:lang w:val="es-ES_tradnl"/>
        </w:rPr>
        <w:t xml:space="preserve">El ingreso de divisas por Turismo </w:t>
      </w:r>
      <w:r>
        <w:rPr>
          <w:rFonts w:asciiTheme="minorHAnsi" w:hAnsiTheme="minorHAnsi"/>
          <w:lang w:val="es-ES_tradnl"/>
        </w:rPr>
        <w:t xml:space="preserve">también </w:t>
      </w:r>
      <w:r w:rsidRPr="00DA1E7D">
        <w:rPr>
          <w:rFonts w:asciiTheme="minorHAnsi" w:hAnsiTheme="minorHAnsi"/>
          <w:lang w:val="es-ES_tradnl"/>
        </w:rPr>
        <w:t>se ha más que duplicado en los últimos 10 años</w:t>
      </w:r>
      <w:r w:rsidRPr="00DA1E7D">
        <w:rPr>
          <w:rStyle w:val="Refdenotaalpie"/>
          <w:rFonts w:asciiTheme="minorHAnsi" w:hAnsiTheme="minorHAnsi"/>
          <w:lang w:val="es-ES_tradnl"/>
        </w:rPr>
        <w:footnoteReference w:id="2"/>
      </w:r>
      <w:r w:rsidRPr="00DA1E7D">
        <w:rPr>
          <w:rFonts w:asciiTheme="minorHAnsi" w:hAnsiTheme="minorHAnsi"/>
          <w:lang w:val="es-ES_tradnl"/>
        </w:rPr>
        <w:t>, pasando de US$1.324 millones el 2005 a US$2.910 millones el 2015</w:t>
      </w:r>
      <w:r>
        <w:rPr>
          <w:rStyle w:val="Refdenotaalpie"/>
          <w:rFonts w:asciiTheme="minorHAnsi" w:hAnsiTheme="minorHAnsi"/>
          <w:lang w:val="es-ES_tradnl"/>
        </w:rPr>
        <w:footnoteReference w:id="3"/>
      </w:r>
      <w:r w:rsidRPr="00DA1E7D">
        <w:rPr>
          <w:rFonts w:asciiTheme="minorHAnsi" w:hAnsiTheme="minorHAnsi"/>
          <w:lang w:val="es-ES_tradnl"/>
        </w:rPr>
        <w:t xml:space="preserve">, con una tasa de crecimiento media </w:t>
      </w:r>
      <w:r w:rsidRPr="00372508">
        <w:rPr>
          <w:rFonts w:asciiTheme="minorHAnsi" w:hAnsiTheme="minorHAnsi"/>
          <w:lang w:val="es-ES_tradnl"/>
        </w:rPr>
        <w:t xml:space="preserve">anual de </w:t>
      </w:r>
      <w:r>
        <w:rPr>
          <w:rFonts w:asciiTheme="minorHAnsi" w:hAnsiTheme="minorHAnsi"/>
          <w:lang w:val="es-ES_tradnl"/>
        </w:rPr>
        <w:t>8</w:t>
      </w:r>
      <w:r w:rsidRPr="00372508">
        <w:rPr>
          <w:rFonts w:asciiTheme="minorHAnsi" w:hAnsiTheme="minorHAnsi"/>
          <w:lang w:val="es-ES_tradnl"/>
        </w:rPr>
        <w:t>,2% en estos 10</w:t>
      </w:r>
      <w:r w:rsidRPr="00DA1E7D">
        <w:rPr>
          <w:rFonts w:asciiTheme="minorHAnsi" w:hAnsiTheme="minorHAnsi"/>
          <w:lang w:val="es-ES_tradnl"/>
        </w:rPr>
        <w:t xml:space="preserve"> años. </w:t>
      </w:r>
    </w:p>
    <w:p w14:paraId="3B95CABC" w14:textId="77777777" w:rsidR="002D789F" w:rsidRDefault="002D789F" w:rsidP="002D789F">
      <w:pPr>
        <w:spacing w:after="0"/>
        <w:jc w:val="both"/>
        <w:rPr>
          <w:rFonts w:asciiTheme="minorHAnsi" w:hAnsiTheme="minorHAnsi"/>
          <w:lang w:val="es-ES_tradnl"/>
        </w:rPr>
      </w:pPr>
    </w:p>
    <w:p w14:paraId="1B68CAF1" w14:textId="3DE56486" w:rsidR="002D789F" w:rsidRDefault="00B12266" w:rsidP="002D789F">
      <w:pPr>
        <w:spacing w:after="0"/>
        <w:jc w:val="both"/>
        <w:rPr>
          <w:lang w:val="es-ES_tradnl"/>
        </w:rPr>
      </w:pPr>
      <w:r>
        <w:rPr>
          <w:lang w:val="es-ES_tradnl"/>
        </w:rPr>
        <w:t xml:space="preserve">Uno de los principales atractivos de Chile es su naturaleza, de hecho, entre los turistas extranjeros que ingresan a Chile por el Aeropuerto Internacional Arturo Merino Benitez, </w:t>
      </w:r>
      <w:r w:rsidR="005B15F7">
        <w:rPr>
          <w:lang w:val="es-ES_tradnl"/>
        </w:rPr>
        <w:t xml:space="preserve">un total de 1.709.986 turistas, </w:t>
      </w:r>
      <w:r>
        <w:rPr>
          <w:lang w:val="es-ES_tradnl"/>
        </w:rPr>
        <w:t>un 51% declara que la naturaleza, los paisajes, la flora y fauna chilena fueron las principales razones para elegir Chile como destino turístico. Destacan en este caso los europeos, donde un 72,7% declaró que esta era su principal razón para venir a Chile y dentro de estos, los alemanes donde un 80,1% declaró esta razón.</w:t>
      </w:r>
    </w:p>
    <w:p w14:paraId="331ACEBC" w14:textId="77777777" w:rsidR="00B12266" w:rsidRDefault="00B12266" w:rsidP="002D789F">
      <w:pPr>
        <w:spacing w:after="0"/>
        <w:jc w:val="both"/>
        <w:rPr>
          <w:lang w:val="es-ES_tradnl"/>
        </w:rPr>
      </w:pPr>
    </w:p>
    <w:p w14:paraId="2679BE2B" w14:textId="40973103" w:rsidR="00B12266" w:rsidRDefault="00B12266" w:rsidP="002D789F">
      <w:pPr>
        <w:spacing w:after="0"/>
        <w:jc w:val="both"/>
        <w:rPr>
          <w:lang w:val="es-ES_tradnl"/>
        </w:rPr>
      </w:pPr>
      <w:r>
        <w:rPr>
          <w:lang w:val="es-ES_tradnl"/>
        </w:rPr>
        <w:t>La visita a Áreas Protegidas, el ecoturismo, observación de paisaje, flora y fauna destacan como una de las principales actividades realizadas, nuevamente siendo esta actividad más relevante para los turistas provenientes de Europa</w:t>
      </w:r>
      <w:r w:rsidR="00A47D43">
        <w:rPr>
          <w:lang w:val="es-ES_tradnl"/>
        </w:rPr>
        <w:t>, donde cerca de un 26% de los turistas que ingresan por el Aeropuerto AMB declara haber realizado esta actividad, principalmente en el primer y cuarto trimestre del año.</w:t>
      </w:r>
      <w:r w:rsidR="00C20E7D">
        <w:rPr>
          <w:lang w:val="es-ES_tradnl"/>
        </w:rPr>
        <w:t xml:space="preserve"> Este número se incrementó en un poco más de 30% respecto a los que declararon los turistas el 2014.</w:t>
      </w:r>
    </w:p>
    <w:p w14:paraId="4D02E2C8" w14:textId="77777777" w:rsidR="00A47D43" w:rsidRDefault="00A47D43" w:rsidP="002D789F">
      <w:pPr>
        <w:spacing w:after="0"/>
        <w:jc w:val="both"/>
        <w:rPr>
          <w:lang w:val="es-ES_tradnl"/>
        </w:rPr>
      </w:pPr>
    </w:p>
    <w:p w14:paraId="02C2FBC9" w14:textId="72ACD61A" w:rsidR="00A47D43" w:rsidRDefault="00A47D43" w:rsidP="002D789F">
      <w:pPr>
        <w:spacing w:after="0"/>
        <w:jc w:val="both"/>
        <w:rPr>
          <w:lang w:val="es-ES_tradnl"/>
        </w:rPr>
      </w:pPr>
      <w:r>
        <w:rPr>
          <w:lang w:val="es-ES_tradnl"/>
        </w:rPr>
        <w:t>Sin embargo, nuestros parques no sólo reciben al turista extranjero. De hecho, un 24% de los visitantes a nuestros parques corresponde a extranjeros, mientras que el 76% restante son visitantes chilenos. La participación de los visitantes nacionales ha ido creciendo en los últimos 8 años, ya que el 2007, un 60% del total de visitas correspondía a chilenos. Este cambio en la participación de los visitantes no implica que las visitas a los parques hayan disminuido, muy por el contrario. En los últimos 8 años, las visitas a parques aumentaron en promedio anual un 6,2%, concentrándose el aumento en los últimos 4 años, ya que el promedio anual de crecimiento de las visitas a parques en este período fue de 10,6%. En este último período de 4 años, los turistas chilenos aumentaron sus visitas en un 11,6% promedio anual y los visitantes extranjeros en un 7,7% anual.</w:t>
      </w:r>
    </w:p>
    <w:p w14:paraId="66B7FEB5" w14:textId="77777777" w:rsidR="00A47D43" w:rsidRDefault="00A47D43" w:rsidP="002D789F">
      <w:pPr>
        <w:spacing w:after="0"/>
        <w:jc w:val="both"/>
        <w:rPr>
          <w:lang w:val="es-ES_tradnl"/>
        </w:rPr>
      </w:pPr>
    </w:p>
    <w:p w14:paraId="514E08AC" w14:textId="77777777" w:rsidR="00A47D43" w:rsidRDefault="00A47D43" w:rsidP="002D789F">
      <w:pPr>
        <w:spacing w:after="0"/>
        <w:jc w:val="both"/>
        <w:rPr>
          <w:lang w:val="es-ES_tradnl"/>
        </w:rPr>
      </w:pPr>
    </w:p>
    <w:p w14:paraId="21C7FEE4" w14:textId="060E1D04" w:rsidR="00A47D43" w:rsidRDefault="00A47D43" w:rsidP="002D789F">
      <w:pPr>
        <w:spacing w:after="0"/>
        <w:jc w:val="both"/>
        <w:rPr>
          <w:lang w:val="es-ES_tradnl"/>
        </w:rPr>
      </w:pPr>
      <w:r>
        <w:rPr>
          <w:noProof/>
          <w:lang w:eastAsia="es-CL"/>
        </w:rPr>
        <w:drawing>
          <wp:inline distT="0" distB="0" distL="0" distR="0" wp14:anchorId="667BE25D" wp14:editId="32134368">
            <wp:extent cx="5613400" cy="3415030"/>
            <wp:effectExtent l="0" t="0" r="6350" b="1397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80DC92C" w14:textId="7F82C34D" w:rsidR="00A47D43" w:rsidRPr="00A47D43" w:rsidRDefault="00A47D43" w:rsidP="002D789F">
      <w:pPr>
        <w:spacing w:after="0"/>
        <w:jc w:val="both"/>
        <w:rPr>
          <w:sz w:val="18"/>
          <w:szCs w:val="18"/>
          <w:lang w:val="es-ES_tradnl"/>
        </w:rPr>
      </w:pPr>
      <w:r w:rsidRPr="00A47D43">
        <w:rPr>
          <w:sz w:val="18"/>
          <w:szCs w:val="18"/>
          <w:lang w:val="es-ES_tradnl"/>
        </w:rPr>
        <w:t>Fuente: elaboración propia en base a datos de CONAF.</w:t>
      </w:r>
    </w:p>
    <w:p w14:paraId="568B5F4D" w14:textId="77777777" w:rsidR="00A47D43" w:rsidRDefault="00A47D43" w:rsidP="002D789F">
      <w:pPr>
        <w:spacing w:after="0"/>
        <w:jc w:val="both"/>
        <w:rPr>
          <w:lang w:val="es-ES_tradnl"/>
        </w:rPr>
      </w:pPr>
    </w:p>
    <w:p w14:paraId="3BD3F067" w14:textId="29CCE8B3" w:rsidR="00A47D43" w:rsidRDefault="00A47D43" w:rsidP="002D789F">
      <w:pPr>
        <w:spacing w:after="0"/>
        <w:jc w:val="both"/>
        <w:rPr>
          <w:lang w:val="es-ES_tradnl"/>
        </w:rPr>
      </w:pPr>
      <w:r>
        <w:rPr>
          <w:lang w:val="es-ES_tradnl"/>
        </w:rPr>
        <w:t>Los parques y reservas más visitados en Chile</w:t>
      </w:r>
      <w:r w:rsidR="00A46F0B">
        <w:rPr>
          <w:lang w:val="es-ES_tradnl"/>
        </w:rPr>
        <w:t xml:space="preserve"> durante el 2015</w:t>
      </w:r>
      <w:r>
        <w:rPr>
          <w:lang w:val="es-ES_tradnl"/>
        </w:rPr>
        <w:t xml:space="preserve">, de acuerdo a estadísticas de </w:t>
      </w:r>
      <w:proofErr w:type="spellStart"/>
      <w:r>
        <w:rPr>
          <w:lang w:val="es-ES_tradnl"/>
        </w:rPr>
        <w:t>Conaf</w:t>
      </w:r>
      <w:proofErr w:type="spellEnd"/>
      <w:r w:rsidR="00A46F0B">
        <w:rPr>
          <w:lang w:val="es-ES_tradnl"/>
        </w:rPr>
        <w:t xml:space="preserve">, </w:t>
      </w:r>
      <w:r>
        <w:rPr>
          <w:lang w:val="es-ES_tradnl"/>
        </w:rPr>
        <w:t xml:space="preserve"> son </w:t>
      </w:r>
      <w:r w:rsidR="00A46F0B">
        <w:rPr>
          <w:lang w:val="es-ES_tradnl"/>
        </w:rPr>
        <w:t xml:space="preserve">P.N. Vicente Pérez Rosales con 468.523 visitantes, </w:t>
      </w:r>
      <w:r>
        <w:rPr>
          <w:lang w:val="es-ES_tradnl"/>
        </w:rPr>
        <w:t>R.N. Los Flamencos en segundo lugar</w:t>
      </w:r>
      <w:r w:rsidR="00A46F0B">
        <w:rPr>
          <w:lang w:val="es-ES_tradnl"/>
        </w:rPr>
        <w:t xml:space="preserve"> con 310.698 visitantes, P.N. Torres del </w:t>
      </w:r>
      <w:proofErr w:type="spellStart"/>
      <w:r w:rsidR="00A46F0B">
        <w:rPr>
          <w:lang w:val="es-ES_tradnl"/>
        </w:rPr>
        <w:t>Paine</w:t>
      </w:r>
      <w:proofErr w:type="spellEnd"/>
      <w:r w:rsidR="00A46F0B">
        <w:rPr>
          <w:lang w:val="es-ES_tradnl"/>
        </w:rPr>
        <w:t xml:space="preserve"> en tercer lugar con 211.886 visitantes, en cuarto lugar el P.N. </w:t>
      </w:r>
      <w:proofErr w:type="spellStart"/>
      <w:r w:rsidR="00A46F0B">
        <w:rPr>
          <w:lang w:val="es-ES_tradnl"/>
        </w:rPr>
        <w:t>Puyehue</w:t>
      </w:r>
      <w:proofErr w:type="spellEnd"/>
      <w:r w:rsidR="00A46F0B">
        <w:rPr>
          <w:lang w:val="es-ES_tradnl"/>
        </w:rPr>
        <w:t xml:space="preserve"> con 126.613 visitantes, M.N. Cueva del </w:t>
      </w:r>
      <w:proofErr w:type="spellStart"/>
      <w:r w:rsidR="00A46F0B">
        <w:rPr>
          <w:lang w:val="es-ES_tradnl"/>
        </w:rPr>
        <w:t>Milodón</w:t>
      </w:r>
      <w:proofErr w:type="spellEnd"/>
      <w:r w:rsidR="00A46F0B">
        <w:rPr>
          <w:lang w:val="es-ES_tradnl"/>
        </w:rPr>
        <w:t xml:space="preserve"> con 110.833 visitantes en quinto lugar, y P.N. Villarrica en sexto lugar con 92.631 visitantes.</w:t>
      </w:r>
    </w:p>
    <w:p w14:paraId="57C132F6" w14:textId="77777777" w:rsidR="00A46F0B" w:rsidRDefault="00A46F0B" w:rsidP="002D789F">
      <w:pPr>
        <w:spacing w:after="0"/>
        <w:jc w:val="both"/>
        <w:rPr>
          <w:lang w:val="es-ES_tradnl"/>
        </w:rPr>
      </w:pPr>
    </w:p>
    <w:p w14:paraId="11ECB2E2" w14:textId="23DEF45C" w:rsidR="00C20E7D" w:rsidRDefault="00C20E7D" w:rsidP="002D789F">
      <w:pPr>
        <w:spacing w:after="0"/>
        <w:jc w:val="both"/>
        <w:rPr>
          <w:lang w:val="es-ES_tradnl"/>
        </w:rPr>
      </w:pPr>
      <w:r>
        <w:rPr>
          <w:lang w:val="es-ES_tradnl"/>
        </w:rPr>
        <w:t xml:space="preserve">El turista extranjero que ingresa por aeropuerto, y que declara haber visitado áreas protegidas, </w:t>
      </w:r>
      <w:r w:rsidR="006A16AE">
        <w:rPr>
          <w:lang w:val="es-ES_tradnl"/>
        </w:rPr>
        <w:t xml:space="preserve">tiene como principal motivo de viaje las vacaciones (78,7% de los turistas). Con cerca de 18 noches de pernoctación, en promedio, tienen una pernoctación de cerca de 6 noches más que el promedio del total de los turistas que ingresan por aeropuerto, a pesar que esta disminuyó el 2015 en relación al 2014, donde los turistas que visitaron áreas protegidas permanecieron en promedio 20,6 noches. Gastan cerca de US$6 diarios menos (US$79,1) que el gasto promedio diario individual del total de turistas que ingresa por esta vía (US$85,3), sin embargo, este valor se incrementó respecto al 2014 en un 4,8%. Dada la mayor permanencia, el gasto total individual, de US$1.416,8, es cerca de un 37% mayor que el gasto total individual del total de turistas ingresados por aeropuerto. En relación al ingreso de divisas, </w:t>
      </w:r>
      <w:r w:rsidR="001A79AD">
        <w:rPr>
          <w:lang w:val="es-ES_tradnl"/>
        </w:rPr>
        <w:t xml:space="preserve">las divisas totales que ingresan provenientes de </w:t>
      </w:r>
      <w:r w:rsidR="006A16AE">
        <w:rPr>
          <w:lang w:val="es-ES_tradnl"/>
        </w:rPr>
        <w:t xml:space="preserve">turistas que visitan áreas protegidas </w:t>
      </w:r>
      <w:r w:rsidR="001A79AD">
        <w:rPr>
          <w:lang w:val="es-ES_tradnl"/>
        </w:rPr>
        <w:t>ascienden a US$624 millones, lo que equivale a un 35,2% del ingreso de divisas totales por turistas que inmigran por el aeropuerto internacional. Este valor se incrementó en un 18,6% respecto al ingreso de divisas de turistas que visitaron áreas protegidas el 2014.</w:t>
      </w:r>
      <w:bookmarkStart w:id="0" w:name="_GoBack"/>
      <w:bookmarkEnd w:id="0"/>
    </w:p>
    <w:p w14:paraId="3507F2FF" w14:textId="21A75AE7" w:rsidR="00A46F0B" w:rsidRDefault="00A46F0B" w:rsidP="002D789F">
      <w:pPr>
        <w:spacing w:after="0"/>
        <w:jc w:val="both"/>
        <w:rPr>
          <w:lang w:val="es-ES_tradnl"/>
        </w:rPr>
      </w:pPr>
      <w:r>
        <w:rPr>
          <w:lang w:val="es-ES_tradnl"/>
        </w:rPr>
        <w:lastRenderedPageBreak/>
        <w:t>De acuerdo a estimaciones realizadas por la División de Estudios de la Subsecretaría de Turismo, se espera que las visitas a los parques, reservas y monumentos sigan aumentando en la próxima década a un promedio anual de cerca de un 5%, lo que equivale a un crecimiento acumulado de cerca de un 60%. Con lo anterior, al 2025, las visitas totales a parques llegarían a cerca de 4,3 millones.</w:t>
      </w:r>
    </w:p>
    <w:p w14:paraId="2C5726E9" w14:textId="77777777" w:rsidR="00A46F0B" w:rsidRDefault="00A46F0B" w:rsidP="002D789F">
      <w:pPr>
        <w:spacing w:after="0"/>
        <w:jc w:val="both"/>
        <w:rPr>
          <w:lang w:val="es-ES_tradnl"/>
        </w:rPr>
      </w:pPr>
    </w:p>
    <w:p w14:paraId="267C8E11" w14:textId="175DC57F" w:rsidR="00A46F0B" w:rsidRDefault="005B15F7" w:rsidP="002D789F">
      <w:pPr>
        <w:spacing w:after="0"/>
        <w:jc w:val="both"/>
        <w:rPr>
          <w:noProof/>
          <w:lang w:eastAsia="es-CL"/>
        </w:rPr>
      </w:pPr>
      <w:r w:rsidRPr="00A46F0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6AE1B" wp14:editId="4C9495AC">
                <wp:simplePos x="0" y="0"/>
                <wp:positionH relativeFrom="column">
                  <wp:posOffset>5053330</wp:posOffset>
                </wp:positionH>
                <wp:positionV relativeFrom="paragraph">
                  <wp:posOffset>477520</wp:posOffset>
                </wp:positionV>
                <wp:extent cx="647700" cy="247650"/>
                <wp:effectExtent l="0" t="0" r="0" b="0"/>
                <wp:wrapNone/>
                <wp:docPr id="6" name="Cuadro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476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D6C6C" w14:textId="77777777" w:rsidR="00A46F0B" w:rsidRDefault="00A46F0B" w:rsidP="00A46F0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4,1%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76F6AE1B" id="_x0000_t202" coordsize="21600,21600" o:spt="202" path="m,l,21600r21600,l21600,xe">
                <v:stroke joinstyle="miter"/>
                <v:path gradientshapeok="t" o:connecttype="rect"/>
              </v:shapetype>
              <v:shape id="CuadroTexto 5" o:spid="_x0000_s1026" type="#_x0000_t202" style="position:absolute;left:0;text-align:left;margin-left:397.9pt;margin-top:37.6pt;width:51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" filled="f" stroked="f">
                <v:textbox>
                  <w:txbxContent>
                    <w:p w14:paraId="10DD6C6C" w14:textId="77777777" w:rsidR="00A46F0B" w:rsidRDefault="00A46F0B" w:rsidP="00A46F0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sz w:val="16"/>
                          <w:szCs w:val="16"/>
                        </w:rPr>
                        <w:t>4,1%</w:t>
                      </w:r>
                    </w:p>
                  </w:txbxContent>
                </v:textbox>
              </v:shape>
            </w:pict>
          </mc:Fallback>
        </mc:AlternateContent>
      </w:r>
      <w:r w:rsidRPr="00A46F0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6F3F67" wp14:editId="6516D885">
                <wp:simplePos x="0" y="0"/>
                <wp:positionH relativeFrom="column">
                  <wp:posOffset>5206365</wp:posOffset>
                </wp:positionH>
                <wp:positionV relativeFrom="paragraph">
                  <wp:posOffset>725170</wp:posOffset>
                </wp:positionV>
                <wp:extent cx="1095375" cy="409575"/>
                <wp:effectExtent l="0" t="0" r="28575" b="28575"/>
                <wp:wrapNone/>
                <wp:docPr id="7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095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1B6F90" w14:textId="1DFCB074" w:rsidR="00A46F0B" w:rsidRDefault="00A46F0B" w:rsidP="00A46F0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4472C4" w:themeColor="accent5"/>
                                <w:sz w:val="16"/>
                                <w:szCs w:val="16"/>
                              </w:rPr>
                              <w:t xml:space="preserve">Var </w:t>
                            </w:r>
                            <w:r w:rsidR="005B15F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4472C4" w:themeColor="accent5"/>
                                <w:sz w:val="16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4472C4" w:themeColor="accent5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4472C4" w:themeColor="accent5"/>
                                <w:sz w:val="16"/>
                                <w:szCs w:val="16"/>
                              </w:rPr>
                              <w:t>Proy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4472C4" w:themeColor="accent5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6F3F67" id="Elipse 6" o:spid="_x0000_s1027" style="position:absolute;left:0;text-align:left;margin-left:409.95pt;margin-top:57.1pt;width:86.2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" filled="f" strokecolor="red" strokeweight="1pt">
                <v:stroke dashstyle="3 1" joinstyle="miter"/>
                <v:textbox>
                  <w:txbxContent>
                    <w:p w14:paraId="5C1B6F90" w14:textId="1DFCB074" w:rsidR="00A46F0B" w:rsidRDefault="00A46F0B" w:rsidP="00A46F0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4472C4" w:themeColor="accent5"/>
                          <w:sz w:val="16"/>
                          <w:szCs w:val="16"/>
                        </w:rPr>
                        <w:t xml:space="preserve">Var </w:t>
                      </w:r>
                      <w:r w:rsidR="005B15F7">
                        <w:rPr>
                          <w:rFonts w:asciiTheme="minorHAnsi" w:hAnsi="Calibri" w:cstheme="minorBidi"/>
                          <w:b/>
                          <w:bCs/>
                          <w:color w:val="4472C4" w:themeColor="accent5"/>
                          <w:sz w:val="16"/>
                          <w:szCs w:val="16"/>
                        </w:rPr>
                        <w:t>de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4472C4" w:themeColor="accent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4472C4" w:themeColor="accent5"/>
                          <w:sz w:val="16"/>
                          <w:szCs w:val="16"/>
                        </w:rPr>
                        <w:t>Proy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4472C4" w:themeColor="accent5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Pr="00A46F0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69B07" wp14:editId="036E5B3A">
                <wp:simplePos x="0" y="0"/>
                <wp:positionH relativeFrom="column">
                  <wp:posOffset>4949190</wp:posOffset>
                </wp:positionH>
                <wp:positionV relativeFrom="paragraph">
                  <wp:posOffset>1106170</wp:posOffset>
                </wp:positionV>
                <wp:extent cx="647700" cy="247650"/>
                <wp:effectExtent l="0" t="0" r="0" b="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476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D75DC" w14:textId="77777777" w:rsidR="00A46F0B" w:rsidRDefault="00A46F0B" w:rsidP="00A46F0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15,8%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03869B07" id="CuadroTexto 4" o:spid="_x0000_s1028" type="#_x0000_t202" style="position:absolute;left:0;text-align:left;margin-left:389.7pt;margin-top:87.1pt;width:51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" filled="f" stroked="f">
                <v:textbox>
                  <w:txbxContent>
                    <w:p w14:paraId="0F2D75DC" w14:textId="77777777" w:rsidR="00A46F0B" w:rsidRDefault="00A46F0B" w:rsidP="00A46F0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sz w:val="16"/>
                          <w:szCs w:val="16"/>
                        </w:rPr>
                        <w:t>15,8%</w:t>
                      </w:r>
                    </w:p>
                  </w:txbxContent>
                </v:textbox>
              </v:shape>
            </w:pict>
          </mc:Fallback>
        </mc:AlternateContent>
      </w:r>
      <w:r w:rsidR="00A46F0B">
        <w:rPr>
          <w:noProof/>
          <w:lang w:eastAsia="es-CL"/>
        </w:rPr>
        <w:drawing>
          <wp:inline distT="0" distB="0" distL="0" distR="0" wp14:anchorId="605AF5B4" wp14:editId="034020AD">
            <wp:extent cx="5591175" cy="3114675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A46F0B" w:rsidRPr="00A46F0B">
        <w:rPr>
          <w:noProof/>
          <w:lang w:eastAsia="es-CL"/>
        </w:rPr>
        <w:t xml:space="preserve"> </w:t>
      </w:r>
    </w:p>
    <w:p w14:paraId="7B3EB8A1" w14:textId="3E1A321B" w:rsidR="005B15F7" w:rsidRPr="005B15F7" w:rsidRDefault="005B15F7" w:rsidP="002D789F">
      <w:pPr>
        <w:spacing w:after="0"/>
        <w:jc w:val="both"/>
        <w:rPr>
          <w:noProof/>
          <w:sz w:val="18"/>
          <w:szCs w:val="18"/>
          <w:lang w:eastAsia="es-CL"/>
        </w:rPr>
      </w:pPr>
      <w:r w:rsidRPr="005B15F7">
        <w:rPr>
          <w:noProof/>
          <w:sz w:val="18"/>
          <w:szCs w:val="18"/>
          <w:lang w:eastAsia="es-CL"/>
        </w:rPr>
        <w:t>Fuente: Elaboración propia</w:t>
      </w:r>
    </w:p>
    <w:p w14:paraId="0E010D41" w14:textId="77777777" w:rsidR="005B15F7" w:rsidRDefault="005B15F7" w:rsidP="002D789F">
      <w:pPr>
        <w:spacing w:after="0"/>
        <w:jc w:val="both"/>
        <w:rPr>
          <w:noProof/>
          <w:lang w:eastAsia="es-CL"/>
        </w:rPr>
      </w:pPr>
    </w:p>
    <w:p w14:paraId="5966291D" w14:textId="77777777" w:rsidR="005B15F7" w:rsidRPr="002D789F" w:rsidRDefault="005B15F7" w:rsidP="002D789F">
      <w:pPr>
        <w:spacing w:after="0"/>
        <w:jc w:val="both"/>
        <w:rPr>
          <w:lang w:val="es-ES_tradnl"/>
        </w:rPr>
      </w:pPr>
    </w:p>
    <w:sectPr w:rsidR="005B15F7" w:rsidRPr="002D789F" w:rsidSect="00F6134D">
      <w:headerReference w:type="default" r:id="rId10"/>
      <w:footerReference w:type="default" r:id="rId11"/>
      <w:pgSz w:w="12242" w:h="15842" w:code="1"/>
      <w:pgMar w:top="539" w:right="1701" w:bottom="1440" w:left="1701" w:header="0" w:footer="4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53C15" w14:textId="77777777" w:rsidR="00F1122F" w:rsidRDefault="00F1122F">
      <w:pPr>
        <w:spacing w:after="0" w:line="240" w:lineRule="auto"/>
      </w:pPr>
      <w:r>
        <w:separator/>
      </w:r>
    </w:p>
  </w:endnote>
  <w:endnote w:type="continuationSeparator" w:id="0">
    <w:p w14:paraId="7F7883FC" w14:textId="77777777" w:rsidR="00F1122F" w:rsidRDefault="00F11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laska">
    <w:altName w:val="Verdana"/>
    <w:charset w:val="00"/>
    <w:family w:val="swiss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6458074"/>
      <w:docPartObj>
        <w:docPartGallery w:val="Page Numbers (Bottom of Page)"/>
        <w:docPartUnique/>
      </w:docPartObj>
    </w:sdtPr>
    <w:sdtEndPr/>
    <w:sdtContent>
      <w:p w14:paraId="4664C9E7" w14:textId="77777777" w:rsidR="003A46B9" w:rsidRDefault="003A46B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9AD">
          <w:rPr>
            <w:noProof/>
          </w:rPr>
          <w:t>3</w:t>
        </w:r>
        <w:r>
          <w:fldChar w:fldCharType="end"/>
        </w:r>
      </w:p>
    </w:sdtContent>
  </w:sdt>
  <w:p w14:paraId="23A272F2" w14:textId="77777777" w:rsidR="00EA0A36" w:rsidRDefault="003A46B9" w:rsidP="003A46B9">
    <w:pPr>
      <w:pStyle w:val="Piedepgina"/>
      <w:jc w:val="center"/>
      <w:rPr>
        <w:rFonts w:ascii="Alaska" w:hAnsi="Alaska"/>
        <w:sz w:val="12"/>
      </w:rPr>
    </w:pPr>
    <w:r>
      <w:rPr>
        <w:rFonts w:ascii="Alaska" w:hAnsi="Alaska"/>
        <w:sz w:val="12"/>
      </w:rPr>
      <w:t>DIVISIÓN DE ESTUDIOS</w:t>
    </w:r>
    <w:r w:rsidR="00EA0A36">
      <w:rPr>
        <w:rFonts w:ascii="Alaska" w:hAnsi="Alaska"/>
        <w:sz w:val="12"/>
      </w:rPr>
      <w:t xml:space="preserve"> - SUBSECRETARÍA DE TURISMO </w:t>
    </w:r>
  </w:p>
  <w:p w14:paraId="2A206117" w14:textId="77777777" w:rsidR="003A46B9" w:rsidRPr="00285C93" w:rsidRDefault="003A46B9" w:rsidP="003A46B9">
    <w:pPr>
      <w:pStyle w:val="Piedepgina"/>
      <w:jc w:val="center"/>
      <w:rPr>
        <w:rFonts w:ascii="Alaska" w:hAnsi="Alaska"/>
        <w:sz w:val="12"/>
      </w:rPr>
    </w:pPr>
    <w:r w:rsidRPr="00285C93">
      <w:rPr>
        <w:rFonts w:ascii="Alaska" w:hAnsi="Alaska"/>
        <w:sz w:val="12"/>
      </w:rPr>
      <w:t>AVDA. LIBERTADOR  BERNARDO O’HIGGINS 1449, TORRE II, PISO 1</w:t>
    </w:r>
    <w:r>
      <w:rPr>
        <w:rFonts w:ascii="Alaska" w:hAnsi="Alaska"/>
        <w:sz w:val="12"/>
      </w:rPr>
      <w:t>0</w:t>
    </w:r>
  </w:p>
  <w:p w14:paraId="37398B85" w14:textId="77777777" w:rsidR="00F6134D" w:rsidRPr="00DC6620" w:rsidRDefault="00EA0A36" w:rsidP="003A46B9">
    <w:pPr>
      <w:pStyle w:val="Piedepgina"/>
      <w:jc w:val="center"/>
      <w:rPr>
        <w:rFonts w:ascii="Alaska" w:hAnsi="Alaska"/>
        <w:sz w:val="12"/>
        <w:lang w:val="en-US"/>
      </w:rPr>
    </w:pPr>
    <w:r>
      <w:rPr>
        <w:rFonts w:ascii="Alaska" w:hAnsi="Alaska"/>
        <w:sz w:val="12"/>
        <w:lang w:val="en-US"/>
      </w:rPr>
      <w:t xml:space="preserve">F: +56 2 2473 3629 </w:t>
    </w:r>
    <w:hyperlink r:id="rId1" w:history="1">
      <w:r w:rsidR="003A46B9" w:rsidRPr="005018A6">
        <w:rPr>
          <w:rStyle w:val="Hipervnculo"/>
          <w:rFonts w:ascii="Alaska" w:hAnsi="Alaska"/>
          <w:sz w:val="12"/>
          <w:lang w:val="en-US"/>
        </w:rPr>
        <w:t>www.subturismo.gob.cl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D8EBE" w14:textId="77777777" w:rsidR="00F1122F" w:rsidRDefault="00F1122F">
      <w:pPr>
        <w:spacing w:after="0" w:line="240" w:lineRule="auto"/>
      </w:pPr>
      <w:r>
        <w:separator/>
      </w:r>
    </w:p>
  </w:footnote>
  <w:footnote w:type="continuationSeparator" w:id="0">
    <w:p w14:paraId="12A3B033" w14:textId="77777777" w:rsidR="00F1122F" w:rsidRDefault="00F1122F">
      <w:pPr>
        <w:spacing w:after="0" w:line="240" w:lineRule="auto"/>
      </w:pPr>
      <w:r>
        <w:continuationSeparator/>
      </w:r>
    </w:p>
  </w:footnote>
  <w:footnote w:id="1">
    <w:p w14:paraId="1FF1B249" w14:textId="77777777" w:rsidR="002D789F" w:rsidRPr="00360B3F" w:rsidRDefault="002D789F" w:rsidP="002D789F">
      <w:pPr>
        <w:pStyle w:val="Textonotapie"/>
        <w:rPr>
          <w:sz w:val="18"/>
          <w:szCs w:val="18"/>
        </w:rPr>
      </w:pPr>
      <w:r w:rsidRPr="00360B3F">
        <w:rPr>
          <w:rStyle w:val="Refdenotaalpie"/>
          <w:sz w:val="18"/>
          <w:szCs w:val="18"/>
        </w:rPr>
        <w:footnoteRef/>
      </w:r>
      <w:r w:rsidRPr="00360B3F">
        <w:rPr>
          <w:sz w:val="18"/>
          <w:szCs w:val="18"/>
        </w:rPr>
        <w:t xml:space="preserve"> Fuente: Policía Internacional.</w:t>
      </w:r>
    </w:p>
  </w:footnote>
  <w:footnote w:id="2">
    <w:p w14:paraId="16515677" w14:textId="77777777" w:rsidR="002D789F" w:rsidRPr="00360B3F" w:rsidRDefault="002D789F" w:rsidP="002D789F">
      <w:pPr>
        <w:pStyle w:val="Textonotapie"/>
        <w:jc w:val="both"/>
        <w:rPr>
          <w:sz w:val="18"/>
          <w:szCs w:val="18"/>
        </w:rPr>
      </w:pPr>
      <w:r w:rsidRPr="00360B3F">
        <w:rPr>
          <w:rStyle w:val="Refdenotaalpie"/>
          <w:sz w:val="18"/>
          <w:szCs w:val="18"/>
        </w:rPr>
        <w:footnoteRef/>
      </w:r>
      <w:r w:rsidRPr="00360B3F">
        <w:rPr>
          <w:sz w:val="18"/>
          <w:szCs w:val="18"/>
        </w:rPr>
        <w:t xml:space="preserve"> Las cifras del ingreso de divisas y los porcentajes se encuentran expresadas en dólares de cada año.</w:t>
      </w:r>
    </w:p>
  </w:footnote>
  <w:footnote w:id="3">
    <w:p w14:paraId="496ED2B2" w14:textId="77777777" w:rsidR="002D789F" w:rsidRPr="00360B3F" w:rsidRDefault="002D789F" w:rsidP="002D789F">
      <w:pPr>
        <w:pStyle w:val="Textonotapie"/>
        <w:rPr>
          <w:sz w:val="18"/>
          <w:szCs w:val="18"/>
        </w:rPr>
      </w:pPr>
      <w:r w:rsidRPr="00360B3F">
        <w:rPr>
          <w:rStyle w:val="Refdenotaalpie"/>
          <w:sz w:val="18"/>
          <w:szCs w:val="18"/>
        </w:rPr>
        <w:footnoteRef/>
      </w:r>
      <w:r w:rsidRPr="00360B3F">
        <w:rPr>
          <w:sz w:val="18"/>
          <w:szCs w:val="18"/>
        </w:rPr>
        <w:t xml:space="preserve"> Fuente: Estudio del Gasto, Subsecretaría de Turismo/Sernatur.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25E7E" w14:textId="77777777" w:rsidR="00F6134D" w:rsidRDefault="007D4F6D">
    <w:pPr>
      <w:pStyle w:val="Encabezado"/>
      <w:tabs>
        <w:tab w:val="clear" w:pos="4252"/>
        <w:tab w:val="clear" w:pos="8504"/>
        <w:tab w:val="left" w:pos="7088"/>
      </w:tabs>
      <w:rPr>
        <w:lang w:val="es-CL"/>
      </w:rPr>
    </w:pPr>
    <w:r>
      <w:rPr>
        <w:noProof/>
        <w:lang w:val="es-CL"/>
      </w:rPr>
      <w:drawing>
        <wp:anchor distT="0" distB="0" distL="114300" distR="114300" simplePos="0" relativeHeight="251658240" behindDoc="1" locked="0" layoutInCell="1" allowOverlap="1" wp14:anchorId="2FEFAFDD" wp14:editId="193A82F6">
          <wp:simplePos x="0" y="0"/>
          <wp:positionH relativeFrom="column">
            <wp:posOffset>-175260</wp:posOffset>
          </wp:positionH>
          <wp:positionV relativeFrom="paragraph">
            <wp:posOffset>180975</wp:posOffset>
          </wp:positionV>
          <wp:extent cx="1104900" cy="1022032"/>
          <wp:effectExtent l="0" t="0" r="0" b="6985"/>
          <wp:wrapNone/>
          <wp:docPr id="4" name="Imagen 3" descr="v3_Subsecretaria de Turismo_CMY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3_Subsecretaria de Turismo_CMYK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662" cy="1031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7FE4D5" w14:textId="77777777" w:rsidR="00F6134D" w:rsidRDefault="007D4F6D">
    <w:pPr>
      <w:pStyle w:val="Encabezado"/>
      <w:rPr>
        <w:lang w:val="es-CL"/>
      </w:rPr>
    </w:pPr>
    <w:r>
      <w:rPr>
        <w:noProof/>
        <w:lang w:val="es-C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BECA64" wp14:editId="566752EA">
              <wp:simplePos x="0" y="0"/>
              <wp:positionH relativeFrom="column">
                <wp:posOffset>3200400</wp:posOffset>
              </wp:positionH>
              <wp:positionV relativeFrom="paragraph">
                <wp:posOffset>85090</wp:posOffset>
              </wp:positionV>
              <wp:extent cx="2190115" cy="414655"/>
              <wp:effectExtent l="3810" t="2540" r="0" b="1905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1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E4CD1F" w14:textId="77777777" w:rsidR="00F6134D" w:rsidRDefault="00F6134D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ECA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52pt;margin-top:6.7pt;width:172.45pt;height:3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V3sgIAALk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" filled="f" stroked="f">
              <v:textbox style="mso-fit-shape-to-text:t">
                <w:txbxContent>
                  <w:p w14:paraId="54E4CD1F" w14:textId="77777777" w:rsidR="00F6134D" w:rsidRDefault="00F6134D"/>
                </w:txbxContent>
              </v:textbox>
              <w10:wrap type="square"/>
            </v:shape>
          </w:pict>
        </mc:Fallback>
      </mc:AlternateContent>
    </w:r>
  </w:p>
  <w:p w14:paraId="3A7AB026" w14:textId="77777777" w:rsidR="003976BC" w:rsidRDefault="003976BC" w:rsidP="00F6134D">
    <w:pPr>
      <w:pStyle w:val="Encabezado"/>
      <w:tabs>
        <w:tab w:val="left" w:pos="7655"/>
      </w:tabs>
      <w:ind w:left="-426" w:right="-232"/>
      <w:jc w:val="center"/>
      <w:rPr>
        <w:rFonts w:ascii="Times" w:hAnsi="Times"/>
        <w:i/>
        <w:color w:val="808080"/>
        <w:sz w:val="22"/>
        <w:szCs w:val="22"/>
      </w:rPr>
    </w:pPr>
  </w:p>
  <w:p w14:paraId="0FC46385" w14:textId="77777777" w:rsidR="003976BC" w:rsidRDefault="008356B2" w:rsidP="008356B2">
    <w:pPr>
      <w:pStyle w:val="Encabezado"/>
      <w:tabs>
        <w:tab w:val="left" w:pos="480"/>
        <w:tab w:val="left" w:pos="7655"/>
      </w:tabs>
      <w:ind w:left="-426" w:right="-232"/>
      <w:rPr>
        <w:rFonts w:ascii="Times" w:hAnsi="Times"/>
        <w:i/>
        <w:color w:val="808080"/>
        <w:sz w:val="22"/>
        <w:szCs w:val="22"/>
      </w:rPr>
    </w:pPr>
    <w:r>
      <w:rPr>
        <w:rFonts w:ascii="Times" w:hAnsi="Times"/>
        <w:i/>
        <w:color w:val="808080"/>
        <w:sz w:val="22"/>
        <w:szCs w:val="22"/>
      </w:rPr>
      <w:tab/>
    </w:r>
  </w:p>
  <w:p w14:paraId="7C2AA441" w14:textId="77777777" w:rsidR="003976BC" w:rsidRDefault="003976BC" w:rsidP="00F6134D">
    <w:pPr>
      <w:pStyle w:val="Encabezado"/>
      <w:tabs>
        <w:tab w:val="left" w:pos="7655"/>
      </w:tabs>
      <w:ind w:left="-426" w:right="-232"/>
      <w:jc w:val="center"/>
      <w:rPr>
        <w:rFonts w:ascii="Times" w:hAnsi="Times"/>
        <w:i/>
        <w:color w:val="808080"/>
        <w:sz w:val="22"/>
        <w:szCs w:val="22"/>
      </w:rPr>
    </w:pPr>
  </w:p>
  <w:p w14:paraId="0AEC41A2" w14:textId="77777777" w:rsidR="003976BC" w:rsidRDefault="003976BC" w:rsidP="00F6134D">
    <w:pPr>
      <w:pStyle w:val="Encabezado"/>
      <w:tabs>
        <w:tab w:val="left" w:pos="7655"/>
      </w:tabs>
      <w:ind w:left="-426" w:right="-232"/>
      <w:jc w:val="center"/>
      <w:rPr>
        <w:rFonts w:ascii="Times" w:hAnsi="Times"/>
        <w:i/>
        <w:color w:val="808080"/>
        <w:sz w:val="22"/>
        <w:szCs w:val="22"/>
      </w:rPr>
    </w:pPr>
  </w:p>
  <w:p w14:paraId="249EAC9C" w14:textId="77777777" w:rsidR="00DC6620" w:rsidRDefault="00DC6620" w:rsidP="00DC6620">
    <w:pPr>
      <w:pStyle w:val="Encabezado"/>
      <w:tabs>
        <w:tab w:val="left" w:pos="7655"/>
      </w:tabs>
      <w:ind w:left="-426" w:right="-232"/>
      <w:jc w:val="center"/>
      <w:rPr>
        <w:rFonts w:ascii="Times" w:hAnsi="Times"/>
        <w:i/>
        <w:color w:val="808080"/>
        <w:sz w:val="22"/>
        <w:szCs w:val="22"/>
      </w:rPr>
    </w:pPr>
  </w:p>
  <w:p w14:paraId="76509E75" w14:textId="77777777" w:rsidR="003976BC" w:rsidRDefault="003976BC" w:rsidP="00F6134D">
    <w:pPr>
      <w:pStyle w:val="Encabezado"/>
      <w:tabs>
        <w:tab w:val="left" w:pos="7655"/>
      </w:tabs>
      <w:ind w:left="-426" w:right="-232"/>
      <w:jc w:val="center"/>
      <w:rPr>
        <w:rFonts w:ascii="Times" w:hAnsi="Times"/>
        <w:i/>
        <w:color w:val="8080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35B7"/>
    <w:multiLevelType w:val="hybridMultilevel"/>
    <w:tmpl w:val="B71E7B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A1BC5"/>
    <w:multiLevelType w:val="hybridMultilevel"/>
    <w:tmpl w:val="6158FA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856F1"/>
    <w:multiLevelType w:val="hybridMultilevel"/>
    <w:tmpl w:val="643E06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B632C"/>
    <w:multiLevelType w:val="hybridMultilevel"/>
    <w:tmpl w:val="B2480386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C6966"/>
    <w:multiLevelType w:val="hybridMultilevel"/>
    <w:tmpl w:val="684EF0E6"/>
    <w:lvl w:ilvl="0" w:tplc="340A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5" w15:restartNumberingAfterBreak="0">
    <w:nsid w:val="2B4F39A5"/>
    <w:multiLevelType w:val="hybridMultilevel"/>
    <w:tmpl w:val="44CA8190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10D56"/>
    <w:multiLevelType w:val="hybridMultilevel"/>
    <w:tmpl w:val="9D3A67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821E5"/>
    <w:multiLevelType w:val="hybridMultilevel"/>
    <w:tmpl w:val="FE3CE0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53AED"/>
    <w:multiLevelType w:val="hybridMultilevel"/>
    <w:tmpl w:val="B352CFA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A2A39"/>
    <w:multiLevelType w:val="hybridMultilevel"/>
    <w:tmpl w:val="D3A4E1D8"/>
    <w:lvl w:ilvl="0" w:tplc="F06AB89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E452B"/>
    <w:multiLevelType w:val="hybridMultilevel"/>
    <w:tmpl w:val="51AEDAC6"/>
    <w:lvl w:ilvl="0" w:tplc="606A3B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C6DDA"/>
    <w:multiLevelType w:val="hybridMultilevel"/>
    <w:tmpl w:val="3970D638"/>
    <w:lvl w:ilvl="0" w:tplc="C3A88B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326A8"/>
    <w:multiLevelType w:val="hybridMultilevel"/>
    <w:tmpl w:val="87426B54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218CB"/>
    <w:multiLevelType w:val="hybridMultilevel"/>
    <w:tmpl w:val="B1602B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73412"/>
    <w:multiLevelType w:val="hybridMultilevel"/>
    <w:tmpl w:val="CB667EE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C0106"/>
    <w:multiLevelType w:val="hybridMultilevel"/>
    <w:tmpl w:val="5282C4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C62B4"/>
    <w:multiLevelType w:val="hybridMultilevel"/>
    <w:tmpl w:val="A906CABE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E17EC"/>
    <w:multiLevelType w:val="hybridMultilevel"/>
    <w:tmpl w:val="D2408A1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B1614"/>
    <w:multiLevelType w:val="hybridMultilevel"/>
    <w:tmpl w:val="CB5891E0"/>
    <w:lvl w:ilvl="0" w:tplc="98DEFE0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3C21DEF"/>
    <w:multiLevelType w:val="hybridMultilevel"/>
    <w:tmpl w:val="C8F4BCE2"/>
    <w:lvl w:ilvl="0" w:tplc="DD9C5E58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5C4E21"/>
    <w:multiLevelType w:val="hybridMultilevel"/>
    <w:tmpl w:val="CAAE342E"/>
    <w:lvl w:ilvl="0" w:tplc="BD0C260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sz w:val="1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16064D"/>
    <w:multiLevelType w:val="hybridMultilevel"/>
    <w:tmpl w:val="52C012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259BE"/>
    <w:multiLevelType w:val="hybridMultilevel"/>
    <w:tmpl w:val="1E7C0182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023718"/>
    <w:multiLevelType w:val="hybridMultilevel"/>
    <w:tmpl w:val="41585A2A"/>
    <w:lvl w:ilvl="0" w:tplc="B2C4817E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8"/>
  </w:num>
  <w:num w:numId="5">
    <w:abstractNumId w:val="18"/>
  </w:num>
  <w:num w:numId="6">
    <w:abstractNumId w:val="3"/>
  </w:num>
  <w:num w:numId="7">
    <w:abstractNumId w:val="16"/>
  </w:num>
  <w:num w:numId="8">
    <w:abstractNumId w:val="5"/>
  </w:num>
  <w:num w:numId="9">
    <w:abstractNumId w:val="22"/>
  </w:num>
  <w:num w:numId="10">
    <w:abstractNumId w:val="12"/>
  </w:num>
  <w:num w:numId="11">
    <w:abstractNumId w:val="14"/>
  </w:num>
  <w:num w:numId="12">
    <w:abstractNumId w:val="0"/>
  </w:num>
  <w:num w:numId="13">
    <w:abstractNumId w:val="6"/>
  </w:num>
  <w:num w:numId="14">
    <w:abstractNumId w:val="7"/>
  </w:num>
  <w:num w:numId="15">
    <w:abstractNumId w:val="1"/>
  </w:num>
  <w:num w:numId="16">
    <w:abstractNumId w:val="21"/>
  </w:num>
  <w:num w:numId="17">
    <w:abstractNumId w:val="4"/>
  </w:num>
  <w:num w:numId="18">
    <w:abstractNumId w:val="17"/>
  </w:num>
  <w:num w:numId="19">
    <w:abstractNumId w:val="9"/>
  </w:num>
  <w:num w:numId="20">
    <w:abstractNumId w:val="11"/>
  </w:num>
  <w:num w:numId="21">
    <w:abstractNumId w:val="23"/>
  </w:num>
  <w:num w:numId="22">
    <w:abstractNumId w:val="15"/>
  </w:num>
  <w:num w:numId="23">
    <w:abstractNumId w:val="1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4D"/>
    <w:rsid w:val="00006632"/>
    <w:rsid w:val="0002312C"/>
    <w:rsid w:val="0002796A"/>
    <w:rsid w:val="00036B43"/>
    <w:rsid w:val="00085A76"/>
    <w:rsid w:val="000A65CD"/>
    <w:rsid w:val="000B15EA"/>
    <w:rsid w:val="000B259A"/>
    <w:rsid w:val="000B4DE0"/>
    <w:rsid w:val="000F1E56"/>
    <w:rsid w:val="001A79AD"/>
    <w:rsid w:val="001B79C1"/>
    <w:rsid w:val="001C2050"/>
    <w:rsid w:val="001D62C5"/>
    <w:rsid w:val="001F6247"/>
    <w:rsid w:val="00230C3A"/>
    <w:rsid w:val="00232CBF"/>
    <w:rsid w:val="002331FE"/>
    <w:rsid w:val="00256C1D"/>
    <w:rsid w:val="0026227B"/>
    <w:rsid w:val="00262C7F"/>
    <w:rsid w:val="00270F2E"/>
    <w:rsid w:val="00271183"/>
    <w:rsid w:val="0029472F"/>
    <w:rsid w:val="002A59EA"/>
    <w:rsid w:val="002D789F"/>
    <w:rsid w:val="002F5094"/>
    <w:rsid w:val="003163FC"/>
    <w:rsid w:val="00341545"/>
    <w:rsid w:val="00360486"/>
    <w:rsid w:val="00396A36"/>
    <w:rsid w:val="003976BC"/>
    <w:rsid w:val="003A46B9"/>
    <w:rsid w:val="003A5529"/>
    <w:rsid w:val="003E4C5C"/>
    <w:rsid w:val="003F3F9A"/>
    <w:rsid w:val="00414EA4"/>
    <w:rsid w:val="004270CC"/>
    <w:rsid w:val="004376D2"/>
    <w:rsid w:val="00440252"/>
    <w:rsid w:val="00456664"/>
    <w:rsid w:val="004566C0"/>
    <w:rsid w:val="00457B2F"/>
    <w:rsid w:val="00460FFD"/>
    <w:rsid w:val="00470D55"/>
    <w:rsid w:val="00477A4C"/>
    <w:rsid w:val="004C7820"/>
    <w:rsid w:val="004F2A11"/>
    <w:rsid w:val="0051590F"/>
    <w:rsid w:val="005552BC"/>
    <w:rsid w:val="00597A0E"/>
    <w:rsid w:val="005A3C40"/>
    <w:rsid w:val="005B15F7"/>
    <w:rsid w:val="005E1B0D"/>
    <w:rsid w:val="005F4F44"/>
    <w:rsid w:val="00604341"/>
    <w:rsid w:val="00642DE0"/>
    <w:rsid w:val="00683AD2"/>
    <w:rsid w:val="006A16AE"/>
    <w:rsid w:val="006B2F79"/>
    <w:rsid w:val="006C3800"/>
    <w:rsid w:val="006D326D"/>
    <w:rsid w:val="006D54F1"/>
    <w:rsid w:val="006D62EF"/>
    <w:rsid w:val="006E5F67"/>
    <w:rsid w:val="00700631"/>
    <w:rsid w:val="00707374"/>
    <w:rsid w:val="00707756"/>
    <w:rsid w:val="0073248B"/>
    <w:rsid w:val="00744685"/>
    <w:rsid w:val="007866AC"/>
    <w:rsid w:val="007D4F6D"/>
    <w:rsid w:val="007D6606"/>
    <w:rsid w:val="007F1F4D"/>
    <w:rsid w:val="00821C0D"/>
    <w:rsid w:val="008356B2"/>
    <w:rsid w:val="00871272"/>
    <w:rsid w:val="008905F2"/>
    <w:rsid w:val="00950B72"/>
    <w:rsid w:val="0097196E"/>
    <w:rsid w:val="00974E60"/>
    <w:rsid w:val="0098733E"/>
    <w:rsid w:val="009A324B"/>
    <w:rsid w:val="009A7CC9"/>
    <w:rsid w:val="009C03CE"/>
    <w:rsid w:val="009E5C95"/>
    <w:rsid w:val="009F5130"/>
    <w:rsid w:val="00A24139"/>
    <w:rsid w:val="00A40C0B"/>
    <w:rsid w:val="00A46F0B"/>
    <w:rsid w:val="00A47D43"/>
    <w:rsid w:val="00A63E28"/>
    <w:rsid w:val="00A92C7A"/>
    <w:rsid w:val="00AA3E58"/>
    <w:rsid w:val="00B12266"/>
    <w:rsid w:val="00B36CFD"/>
    <w:rsid w:val="00B474E9"/>
    <w:rsid w:val="00B517B6"/>
    <w:rsid w:val="00B74E6E"/>
    <w:rsid w:val="00B961FB"/>
    <w:rsid w:val="00BA71F5"/>
    <w:rsid w:val="00BE19BD"/>
    <w:rsid w:val="00BF134F"/>
    <w:rsid w:val="00C20E7D"/>
    <w:rsid w:val="00C33635"/>
    <w:rsid w:val="00C44237"/>
    <w:rsid w:val="00C508AC"/>
    <w:rsid w:val="00C95565"/>
    <w:rsid w:val="00CB6557"/>
    <w:rsid w:val="00CD204D"/>
    <w:rsid w:val="00CD7953"/>
    <w:rsid w:val="00CE1D10"/>
    <w:rsid w:val="00CF500C"/>
    <w:rsid w:val="00CF5AD8"/>
    <w:rsid w:val="00D270CE"/>
    <w:rsid w:val="00D441C3"/>
    <w:rsid w:val="00D46F3A"/>
    <w:rsid w:val="00D75E9B"/>
    <w:rsid w:val="00D80876"/>
    <w:rsid w:val="00DC6620"/>
    <w:rsid w:val="00DC7AD8"/>
    <w:rsid w:val="00DD1D1A"/>
    <w:rsid w:val="00DE45C0"/>
    <w:rsid w:val="00DE6B35"/>
    <w:rsid w:val="00E00D47"/>
    <w:rsid w:val="00E200F4"/>
    <w:rsid w:val="00E327A9"/>
    <w:rsid w:val="00E53B3E"/>
    <w:rsid w:val="00E5612F"/>
    <w:rsid w:val="00E73BAD"/>
    <w:rsid w:val="00E96EEC"/>
    <w:rsid w:val="00EA0A36"/>
    <w:rsid w:val="00EC5210"/>
    <w:rsid w:val="00ED51B7"/>
    <w:rsid w:val="00EF6DAE"/>
    <w:rsid w:val="00EF713B"/>
    <w:rsid w:val="00F1122F"/>
    <w:rsid w:val="00F603A4"/>
    <w:rsid w:val="00F6134D"/>
    <w:rsid w:val="00F714A2"/>
    <w:rsid w:val="00FB4884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6FFD66A"/>
  <w15:docId w15:val="{A17AB465-8301-4250-B7EB-43CB19DC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270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F6134D"/>
    <w:pPr>
      <w:keepNext/>
      <w:spacing w:after="0" w:line="240" w:lineRule="auto"/>
      <w:ind w:left="4536"/>
      <w:jc w:val="both"/>
      <w:outlineLvl w:val="1"/>
    </w:pPr>
    <w:rPr>
      <w:rFonts w:ascii="Times New Roman" w:eastAsia="Times New Roman" w:hAnsi="Times New Roman"/>
      <w:sz w:val="24"/>
      <w:szCs w:val="20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F6134D"/>
    <w:rPr>
      <w:rFonts w:ascii="Times New Roman" w:eastAsia="Times New Roman" w:hAnsi="Times New Roman"/>
      <w:sz w:val="24"/>
      <w:lang w:val="es-ES"/>
    </w:rPr>
  </w:style>
  <w:style w:type="paragraph" w:styleId="Encabezado">
    <w:name w:val="header"/>
    <w:basedOn w:val="Normal"/>
    <w:link w:val="EncabezadoCar"/>
    <w:rsid w:val="00F6134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CL"/>
    </w:rPr>
  </w:style>
  <w:style w:type="character" w:customStyle="1" w:styleId="EncabezadoCar">
    <w:name w:val="Encabezado Car"/>
    <w:link w:val="Encabezado"/>
    <w:rsid w:val="00F6134D"/>
    <w:rPr>
      <w:rFonts w:ascii="Times New Roman" w:eastAsia="Times New Roman" w:hAnsi="Times New Roman"/>
      <w:lang w:val="es-ES"/>
    </w:rPr>
  </w:style>
  <w:style w:type="paragraph" w:styleId="Piedepgina">
    <w:name w:val="footer"/>
    <w:basedOn w:val="Normal"/>
    <w:link w:val="PiedepginaCar"/>
    <w:uiPriority w:val="99"/>
    <w:rsid w:val="00F6134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CL"/>
    </w:rPr>
  </w:style>
  <w:style w:type="character" w:customStyle="1" w:styleId="PiedepginaCar">
    <w:name w:val="Pie de página Car"/>
    <w:link w:val="Piedepgina"/>
    <w:uiPriority w:val="99"/>
    <w:rsid w:val="00F6134D"/>
    <w:rPr>
      <w:rFonts w:ascii="Times New Roman" w:eastAsia="Times New Roman" w:hAnsi="Times New Roman"/>
      <w:lang w:val="es-ES"/>
    </w:rPr>
  </w:style>
  <w:style w:type="character" w:styleId="Hipervnculo">
    <w:name w:val="Hyperlink"/>
    <w:rsid w:val="00F6134D"/>
    <w:rPr>
      <w:color w:val="0000FF"/>
      <w:u w:val="single"/>
    </w:rPr>
  </w:style>
  <w:style w:type="character" w:customStyle="1" w:styleId="dzaror">
    <w:name w:val="dzaror"/>
    <w:semiHidden/>
    <w:rsid w:val="00F6134D"/>
    <w:rPr>
      <w:rFonts w:ascii="Arial" w:hAnsi="Arial" w:cs="Arial"/>
      <w:color w:val="00008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4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44685"/>
    <w:rPr>
      <w:rFonts w:ascii="Segoe UI" w:hAnsi="Segoe UI" w:cs="Segoe UI"/>
      <w:sz w:val="18"/>
      <w:szCs w:val="18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7D4F6D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D4F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CL"/>
    </w:rPr>
  </w:style>
  <w:style w:type="character" w:styleId="nfasis">
    <w:name w:val="Emphasis"/>
    <w:uiPriority w:val="20"/>
    <w:qFormat/>
    <w:rsid w:val="007D4F6D"/>
    <w:rPr>
      <w:i/>
      <w:iCs/>
    </w:rPr>
  </w:style>
  <w:style w:type="paragraph" w:styleId="Textonotapie">
    <w:name w:val="footnote text"/>
    <w:aliases w:val="Footnote Text Char,fn,Footnote,text"/>
    <w:basedOn w:val="Normal"/>
    <w:link w:val="TextonotapieCar"/>
    <w:uiPriority w:val="99"/>
    <w:unhideWhenUsed/>
    <w:rsid w:val="00ED51B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aliases w:val="Footnote Text Char Car,fn Car,Footnote Car,text Car"/>
    <w:basedOn w:val="Fuentedeprrafopredeter"/>
    <w:link w:val="Textonotapie"/>
    <w:uiPriority w:val="99"/>
    <w:rsid w:val="00ED51B7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unhideWhenUsed/>
    <w:rsid w:val="00ED51B7"/>
    <w:rPr>
      <w:vertAlign w:val="superscript"/>
    </w:rPr>
  </w:style>
  <w:style w:type="paragraph" w:customStyle="1" w:styleId="BodySingle">
    <w:name w:val="Body Single"/>
    <w:basedOn w:val="Textoindependiente"/>
    <w:link w:val="BodySingleChar"/>
    <w:uiPriority w:val="99"/>
    <w:rsid w:val="004270CC"/>
    <w:pPr>
      <w:spacing w:after="0" w:line="260" w:lineRule="atLeast"/>
    </w:pPr>
    <w:rPr>
      <w:rFonts w:ascii="Georgia" w:eastAsia="Times New Roman" w:hAnsi="Georgia"/>
      <w:sz w:val="20"/>
      <w:szCs w:val="20"/>
      <w:lang w:val="en-GB"/>
    </w:rPr>
  </w:style>
  <w:style w:type="character" w:customStyle="1" w:styleId="BodySingleChar">
    <w:name w:val="Body Single Char"/>
    <w:link w:val="BodySingle"/>
    <w:uiPriority w:val="99"/>
    <w:locked/>
    <w:rsid w:val="004270CC"/>
    <w:rPr>
      <w:rFonts w:ascii="Georgia" w:eastAsia="Times New Roman" w:hAnsi="Georgia"/>
      <w:lang w:val="en-GB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270C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270CC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4270C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7866AC"/>
    <w:rPr>
      <w:sz w:val="22"/>
      <w:szCs w:val="22"/>
      <w:lang w:eastAsia="en-US"/>
    </w:rPr>
  </w:style>
  <w:style w:type="paragraph" w:styleId="Revisin">
    <w:name w:val="Revision"/>
    <w:hidden/>
    <w:uiPriority w:val="99"/>
    <w:semiHidden/>
    <w:rsid w:val="0029472F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2947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472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472F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47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472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2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bturismo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Vero\Estad&#237;sticas\Conaf\20160414%20Parques,%20evoluci&#243;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Vero\Estad&#237;sticas\Proyecciones\20160427%20Proyecciones_parques_Nacional_anua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L"/>
              <a:t>Visitas totales a parques y var anual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L"/>
        </a:p>
      </c:txPr>
    </c:title>
    <c:autoTitleDeleted val="0"/>
    <c:plotArea>
      <c:layout>
        <c:manualLayout>
          <c:layoutTarget val="inner"/>
          <c:xMode val="edge"/>
          <c:yMode val="edge"/>
          <c:x val="0.12529233619553212"/>
          <c:y val="0.1714020081814801"/>
          <c:w val="0.81646257170342396"/>
          <c:h val="0.65725776933145541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Hoja2!$A$343</c:f>
              <c:strCache>
                <c:ptCount val="1"/>
                <c:pt idx="0">
                  <c:v>Var% 12M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Hoja2!$B$341:$J$341</c:f>
              <c:numCache>
                <c:formatCode>General</c:formatCode>
                <c:ptCount val="9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</c:numCache>
            </c:numRef>
          </c:cat>
          <c:val>
            <c:numRef>
              <c:f>Hoja2!$B$343:$J$343</c:f>
              <c:numCache>
                <c:formatCode>0.0%</c:formatCode>
                <c:ptCount val="9"/>
                <c:pt idx="0" formatCode="_-* #,##0_-;\-* #,##0_-;_-* &quot;-&quot;??_-;_-@_-">
                  <c:v>0</c:v>
                </c:pt>
                <c:pt idx="1">
                  <c:v>5.6588241430852282E-2</c:v>
                </c:pt>
                <c:pt idx="2">
                  <c:v>0.16681070560162969</c:v>
                </c:pt>
                <c:pt idx="3">
                  <c:v>-0.11673227255086771</c:v>
                </c:pt>
                <c:pt idx="4">
                  <c:v>-1.1815387258278465E-2</c:v>
                </c:pt>
                <c:pt idx="5">
                  <c:v>0.14873418426818041</c:v>
                </c:pt>
                <c:pt idx="6">
                  <c:v>0.16811565381462601</c:v>
                </c:pt>
                <c:pt idx="7">
                  <c:v>4.251144701858478E-2</c:v>
                </c:pt>
                <c:pt idx="8">
                  <c:v>7.1113911627595838E-2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66226336"/>
        <c:axId val="466225944"/>
      </c:barChart>
      <c:lineChart>
        <c:grouping val="standard"/>
        <c:varyColors val="0"/>
        <c:ser>
          <c:idx val="0"/>
          <c:order val="0"/>
          <c:tx>
            <c:strRef>
              <c:f>Hoja2!$A$342</c:f>
              <c:strCache>
                <c:ptCount val="1"/>
                <c:pt idx="0">
                  <c:v>Visitas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Hoja2!$B$341:$J$341</c:f>
              <c:numCache>
                <c:formatCode>General</c:formatCode>
                <c:ptCount val="9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</c:numCache>
            </c:numRef>
          </c:cat>
          <c:val>
            <c:numRef>
              <c:f>Hoja2!$B$342:$J$342</c:f>
              <c:numCache>
                <c:formatCode>_-* #,##0_-;\-* #,##0_-;_-* "-"??_-;_-@_-</c:formatCode>
                <c:ptCount val="9"/>
                <c:pt idx="0">
                  <c:v>1667873</c:v>
                </c:pt>
                <c:pt idx="1">
                  <c:v>1762255</c:v>
                </c:pt>
                <c:pt idx="2">
                  <c:v>2056218</c:v>
                </c:pt>
                <c:pt idx="3">
                  <c:v>1816191</c:v>
                </c:pt>
                <c:pt idx="4">
                  <c:v>1794732</c:v>
                </c:pt>
                <c:pt idx="5">
                  <c:v>2061670</c:v>
                </c:pt>
                <c:pt idx="6">
                  <c:v>2408269</c:v>
                </c:pt>
                <c:pt idx="7">
                  <c:v>2510648</c:v>
                </c:pt>
                <c:pt idx="8">
                  <c:v>2689190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8880720"/>
        <c:axId val="466225552"/>
      </c:lineChart>
      <c:catAx>
        <c:axId val="408880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L"/>
          </a:p>
        </c:txPr>
        <c:crossAx val="466225552"/>
        <c:crosses val="autoZero"/>
        <c:auto val="1"/>
        <c:lblAlgn val="ctr"/>
        <c:lblOffset val="100"/>
        <c:noMultiLvlLbl val="0"/>
      </c:catAx>
      <c:valAx>
        <c:axId val="466225552"/>
        <c:scaling>
          <c:orientation val="minMax"/>
          <c:max val="350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,##0_-;\-* #,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L"/>
          </a:p>
        </c:txPr>
        <c:crossAx val="408880720"/>
        <c:crosses val="autoZero"/>
        <c:crossBetween val="between"/>
      </c:valAx>
      <c:valAx>
        <c:axId val="466225944"/>
        <c:scaling>
          <c:orientation val="minMax"/>
          <c:max val="0.2"/>
          <c:min val="-1.3"/>
        </c:scaling>
        <c:delete val="0"/>
        <c:axPos val="r"/>
        <c:numFmt formatCode="_-* #,##0_-;\-* #,##0_-;_-* &quot;-&quot;??_-;_-@_-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es-CL"/>
          </a:p>
        </c:txPr>
        <c:crossAx val="466226336"/>
        <c:crosses val="max"/>
        <c:crossBetween val="between"/>
      </c:valAx>
      <c:catAx>
        <c:axId val="4662263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6622594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s-MX" sz="1200" b="0" i="0" baseline="0">
                <a:effectLst/>
              </a:rPr>
              <a:t>Proyección al 2025 de visitantes a parques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2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s-CL"/>
        </a:p>
      </c:txPr>
    </c:title>
    <c:autoTitleDeleted val="0"/>
    <c:plotArea>
      <c:layout>
        <c:manualLayout>
          <c:layoutTarget val="inner"/>
          <c:xMode val="edge"/>
          <c:yMode val="edge"/>
          <c:x val="0.1106993179250652"/>
          <c:y val="0.15608108108108107"/>
          <c:w val="0.82843666386361903"/>
          <c:h val="0.64558003644039896"/>
        </c:manualLayout>
      </c:layout>
      <c:lineChart>
        <c:grouping val="standard"/>
        <c:varyColors val="0"/>
        <c:ser>
          <c:idx val="0"/>
          <c:order val="0"/>
          <c:tx>
            <c:strRef>
              <c:f>NACIONAL!$G$1</c:f>
              <c:strCache>
                <c:ptCount val="1"/>
                <c:pt idx="0">
                  <c:v>PROY DESDE 2002 POL 2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NACIONAL!$A$15:$A$37</c:f>
              <c:numCache>
                <c:formatCode>General</c:formatCode>
                <c:ptCount val="23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</c:v>
                </c:pt>
                <c:pt idx="16">
                  <c:v>2019</c:v>
                </c:pt>
                <c:pt idx="17">
                  <c:v>2020</c:v>
                </c:pt>
                <c:pt idx="18">
                  <c:v>2021</c:v>
                </c:pt>
                <c:pt idx="19">
                  <c:v>2022</c:v>
                </c:pt>
                <c:pt idx="20">
                  <c:v>2023</c:v>
                </c:pt>
                <c:pt idx="21">
                  <c:v>2024</c:v>
                </c:pt>
                <c:pt idx="22">
                  <c:v>2025</c:v>
                </c:pt>
              </c:numCache>
            </c:numRef>
          </c:cat>
          <c:val>
            <c:numRef>
              <c:f>NACIONAL!$G$15:$G$37</c:f>
              <c:numCache>
                <c:formatCode>#,##0</c:formatCode>
                <c:ptCount val="23"/>
                <c:pt idx="0">
                  <c:v>1173286.8</c:v>
                </c:pt>
                <c:pt idx="1">
                  <c:v>1266815.8</c:v>
                </c:pt>
                <c:pt idx="2">
                  <c:v>1364935.2</c:v>
                </c:pt>
                <c:pt idx="3">
                  <c:v>1467645</c:v>
                </c:pt>
                <c:pt idx="4">
                  <c:v>1574945.2</c:v>
                </c:pt>
                <c:pt idx="5">
                  <c:v>1686835.8</c:v>
                </c:pt>
                <c:pt idx="6">
                  <c:v>1803316.8</c:v>
                </c:pt>
                <c:pt idx="7">
                  <c:v>1924388.2</c:v>
                </c:pt>
                <c:pt idx="8">
                  <c:v>2050050</c:v>
                </c:pt>
                <c:pt idx="9">
                  <c:v>2180302.2000000002</c:v>
                </c:pt>
                <c:pt idx="10">
                  <c:v>2315144.7999999998</c:v>
                </c:pt>
                <c:pt idx="11">
                  <c:v>2454577.7999999998</c:v>
                </c:pt>
                <c:pt idx="12">
                  <c:v>2598601.2000000002</c:v>
                </c:pt>
                <c:pt idx="13">
                  <c:v>2747215</c:v>
                </c:pt>
                <c:pt idx="14">
                  <c:v>2900419.2</c:v>
                </c:pt>
                <c:pt idx="15">
                  <c:v>3058213.8</c:v>
                </c:pt>
                <c:pt idx="16">
                  <c:v>3220598.8</c:v>
                </c:pt>
                <c:pt idx="17">
                  <c:v>3387574.2</c:v>
                </c:pt>
                <c:pt idx="18">
                  <c:v>3559140</c:v>
                </c:pt>
                <c:pt idx="19">
                  <c:v>3735296.2</c:v>
                </c:pt>
                <c:pt idx="20">
                  <c:v>3916042.8</c:v>
                </c:pt>
                <c:pt idx="21">
                  <c:v>4101379.8</c:v>
                </c:pt>
                <c:pt idx="22">
                  <c:v>4291307.2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NACIONAL!$J$1</c:f>
              <c:strCache>
                <c:ptCount val="1"/>
                <c:pt idx="0">
                  <c:v>PROY 2003-2020 TEND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NACIONAL!$A$15:$A$37</c:f>
              <c:numCache>
                <c:formatCode>General</c:formatCode>
                <c:ptCount val="23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</c:v>
                </c:pt>
                <c:pt idx="16">
                  <c:v>2019</c:v>
                </c:pt>
                <c:pt idx="17">
                  <c:v>2020</c:v>
                </c:pt>
                <c:pt idx="18">
                  <c:v>2021</c:v>
                </c:pt>
                <c:pt idx="19">
                  <c:v>2022</c:v>
                </c:pt>
                <c:pt idx="20">
                  <c:v>2023</c:v>
                </c:pt>
                <c:pt idx="21">
                  <c:v>2024</c:v>
                </c:pt>
                <c:pt idx="22">
                  <c:v>2025</c:v>
                </c:pt>
              </c:numCache>
            </c:numRef>
          </c:cat>
          <c:val>
            <c:numRef>
              <c:f>NACIONAL!$J$15:$J$37</c:f>
              <c:numCache>
                <c:formatCode>#,##0</c:formatCode>
                <c:ptCount val="23"/>
                <c:pt idx="0">
                  <c:v>1165297.6923077106</c:v>
                </c:pt>
                <c:pt idx="1">
                  <c:v>1280749.8076923192</c:v>
                </c:pt>
                <c:pt idx="2">
                  <c:v>1396201.9230769277</c:v>
                </c:pt>
                <c:pt idx="3">
                  <c:v>1511654.0384615362</c:v>
                </c:pt>
                <c:pt idx="4">
                  <c:v>1627106.1538461745</c:v>
                </c:pt>
                <c:pt idx="5">
                  <c:v>1742558.269230783</c:v>
                </c:pt>
                <c:pt idx="6">
                  <c:v>1858010.3846153915</c:v>
                </c:pt>
                <c:pt idx="7">
                  <c:v>1973462.5</c:v>
                </c:pt>
                <c:pt idx="8">
                  <c:v>2088914.6153846085</c:v>
                </c:pt>
                <c:pt idx="9">
                  <c:v>2204366.7307692468</c:v>
                </c:pt>
                <c:pt idx="10">
                  <c:v>2319818.8461538553</c:v>
                </c:pt>
                <c:pt idx="11">
                  <c:v>2435270.9615384638</c:v>
                </c:pt>
                <c:pt idx="12">
                  <c:v>2550723.0769230723</c:v>
                </c:pt>
                <c:pt idx="13">
                  <c:v>2666175.1923077106</c:v>
                </c:pt>
                <c:pt idx="14">
                  <c:v>2781627.3076923192</c:v>
                </c:pt>
                <c:pt idx="15">
                  <c:v>2897079.4230769277</c:v>
                </c:pt>
                <c:pt idx="16">
                  <c:v>3012531.5384615362</c:v>
                </c:pt>
                <c:pt idx="17">
                  <c:v>3127983.6538461745</c:v>
                </c:pt>
                <c:pt idx="18">
                  <c:v>3243435.769230783</c:v>
                </c:pt>
                <c:pt idx="19">
                  <c:v>3358887.8846153915</c:v>
                </c:pt>
                <c:pt idx="20">
                  <c:v>3474340</c:v>
                </c:pt>
                <c:pt idx="21">
                  <c:v>3589792.1153846085</c:v>
                </c:pt>
                <c:pt idx="22">
                  <c:v>3705244.2307692468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NACIONAL!$D$1</c:f>
              <c:strCache>
                <c:ptCount val="1"/>
                <c:pt idx="0">
                  <c:v>POLINOMICA 2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val>
            <c:numRef>
              <c:f>NACIONAL!$D$15:$D$37</c:f>
              <c:numCache>
                <c:formatCode>#,##0</c:formatCode>
                <c:ptCount val="23"/>
                <c:pt idx="0">
                  <c:v>1226144.6000000001</c:v>
                </c:pt>
                <c:pt idx="1">
                  <c:v>1307637.5</c:v>
                </c:pt>
                <c:pt idx="2">
                  <c:v>1395406.7999999998</c:v>
                </c:pt>
                <c:pt idx="3">
                  <c:v>1489452.5</c:v>
                </c:pt>
                <c:pt idx="4">
                  <c:v>1589774.6</c:v>
                </c:pt>
                <c:pt idx="5">
                  <c:v>1696373.1</c:v>
                </c:pt>
                <c:pt idx="6">
                  <c:v>1809248</c:v>
                </c:pt>
                <c:pt idx="7">
                  <c:v>1928399.3</c:v>
                </c:pt>
                <c:pt idx="8">
                  <c:v>2053826.9999999998</c:v>
                </c:pt>
                <c:pt idx="9">
                  <c:v>2185531.0999999996</c:v>
                </c:pt>
                <c:pt idx="10">
                  <c:v>2323511.6</c:v>
                </c:pt>
                <c:pt idx="11">
                  <c:v>2467768.5</c:v>
                </c:pt>
                <c:pt idx="12">
                  <c:v>2618301.7999999998</c:v>
                </c:pt>
                <c:pt idx="13">
                  <c:v>2775111.5</c:v>
                </c:pt>
                <c:pt idx="14">
                  <c:v>2938197.5999999996</c:v>
                </c:pt>
                <c:pt idx="15">
                  <c:v>3107560.0999999996</c:v>
                </c:pt>
                <c:pt idx="16">
                  <c:v>3283199</c:v>
                </c:pt>
                <c:pt idx="17">
                  <c:v>3465114.3</c:v>
                </c:pt>
                <c:pt idx="18">
                  <c:v>3653306</c:v>
                </c:pt>
                <c:pt idx="19">
                  <c:v>3847774.0999999996</c:v>
                </c:pt>
                <c:pt idx="20">
                  <c:v>4048518.5999999996</c:v>
                </c:pt>
                <c:pt idx="21">
                  <c:v>4255539.5</c:v>
                </c:pt>
                <c:pt idx="22">
                  <c:v>4468836.8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66227120"/>
        <c:axId val="471792456"/>
      </c:lineChart>
      <c:catAx>
        <c:axId val="466227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L"/>
          </a:p>
        </c:txPr>
        <c:crossAx val="471792456"/>
        <c:crosses val="autoZero"/>
        <c:auto val="1"/>
        <c:lblAlgn val="ctr"/>
        <c:lblOffset val="100"/>
        <c:noMultiLvlLbl val="0"/>
      </c:catAx>
      <c:valAx>
        <c:axId val="471792456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L"/>
          </a:p>
        </c:txPr>
        <c:crossAx val="466227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16890944457185567"/>
          <c:y val="0.21852379938994113"/>
          <c:w val="0.33442505376776793"/>
          <c:h val="0.2280421366248137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C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66B48-900D-4DEC-A64D-C026CEA19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753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Subsecretaria de Economia</Company>
  <LinksUpToDate>false</LinksUpToDate>
  <CharactersWithSpaces>4888</CharactersWithSpaces>
  <SharedDoc>false</SharedDoc>
  <HLinks>
    <vt:vector size="6" baseType="variant">
      <vt:variant>
        <vt:i4>4718681</vt:i4>
      </vt:variant>
      <vt:variant>
        <vt:i4>0</vt:i4>
      </vt:variant>
      <vt:variant>
        <vt:i4>0</vt:i4>
      </vt:variant>
      <vt:variant>
        <vt:i4>5</vt:i4>
      </vt:variant>
      <vt:variant>
        <vt:lpwstr>http://www.subturismo.gob.cl/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Retamales</dc:creator>
  <cp:keywords/>
  <cp:lastModifiedBy>Verónica Ilse Kunze Neubauer</cp:lastModifiedBy>
  <cp:revision>4</cp:revision>
  <cp:lastPrinted>2016-05-30T19:56:00Z</cp:lastPrinted>
  <dcterms:created xsi:type="dcterms:W3CDTF">2016-06-30T18:59:00Z</dcterms:created>
  <dcterms:modified xsi:type="dcterms:W3CDTF">2016-06-30T19:40:00Z</dcterms:modified>
</cp:coreProperties>
</file>