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092CA" w14:textId="31CC5056" w:rsidR="00865056" w:rsidRPr="00865056" w:rsidRDefault="00865056" w:rsidP="00865056">
      <w:pPr>
        <w:spacing w:after="0"/>
        <w:jc w:val="center"/>
        <w:rPr>
          <w:b/>
        </w:rPr>
      </w:pPr>
      <w:r w:rsidRPr="00865056">
        <w:rPr>
          <w:b/>
        </w:rPr>
        <w:t>MINUTA</w:t>
      </w:r>
    </w:p>
    <w:p w14:paraId="24D29D3C" w14:textId="4E654D38" w:rsidR="00DE45C0" w:rsidRDefault="00925CBA" w:rsidP="00865056">
      <w:pPr>
        <w:spacing w:after="0"/>
        <w:jc w:val="center"/>
        <w:rPr>
          <w:b/>
        </w:rPr>
      </w:pPr>
      <w:r>
        <w:rPr>
          <w:b/>
        </w:rPr>
        <w:t>Llegadas (y proyección), divisas y empleo</w:t>
      </w:r>
    </w:p>
    <w:p w14:paraId="22F3B561" w14:textId="77777777" w:rsidR="00865056" w:rsidRDefault="00865056" w:rsidP="00865056">
      <w:pPr>
        <w:spacing w:after="0"/>
        <w:jc w:val="both"/>
        <w:rPr>
          <w:b/>
        </w:rPr>
      </w:pPr>
    </w:p>
    <w:p w14:paraId="6C2054EB" w14:textId="7DADE2A0" w:rsidR="00865056" w:rsidRPr="00865056" w:rsidRDefault="00865056" w:rsidP="00865056">
      <w:pPr>
        <w:pStyle w:val="Prrafodelista"/>
        <w:numPr>
          <w:ilvl w:val="0"/>
          <w:numId w:val="25"/>
        </w:numPr>
        <w:spacing w:after="0"/>
        <w:jc w:val="both"/>
        <w:rPr>
          <w:rFonts w:asciiTheme="minorHAnsi" w:hAnsiTheme="minorHAnsi"/>
          <w:b/>
        </w:rPr>
      </w:pPr>
      <w:r w:rsidRPr="00865056">
        <w:rPr>
          <w:rFonts w:asciiTheme="minorHAnsi" w:hAnsiTheme="minorHAnsi"/>
          <w:b/>
        </w:rPr>
        <w:t>Llegadas y divisas</w:t>
      </w:r>
    </w:p>
    <w:p w14:paraId="695F0774" w14:textId="77777777" w:rsidR="00865056" w:rsidRPr="00865056" w:rsidRDefault="00865056" w:rsidP="00865056">
      <w:pPr>
        <w:pStyle w:val="Prrafodelista"/>
        <w:spacing w:after="0"/>
        <w:jc w:val="both"/>
        <w:rPr>
          <w:rFonts w:asciiTheme="minorHAnsi" w:hAnsiTheme="minorHAnsi"/>
        </w:rPr>
      </w:pPr>
    </w:p>
    <w:p w14:paraId="7A81FD1D" w14:textId="34C5279C" w:rsidR="00865056" w:rsidRDefault="00865056" w:rsidP="00865056">
      <w:pPr>
        <w:spacing w:after="0"/>
        <w:jc w:val="both"/>
        <w:rPr>
          <w:rFonts w:asciiTheme="minorHAnsi" w:hAnsiTheme="minorHAnsi"/>
        </w:rPr>
      </w:pPr>
      <w:r w:rsidRPr="00DA1E7D">
        <w:rPr>
          <w:rFonts w:asciiTheme="minorHAnsi" w:hAnsiTheme="minorHAnsi"/>
        </w:rPr>
        <w:t>Entre los años 200</w:t>
      </w:r>
      <w:r w:rsidR="00B87FE3">
        <w:rPr>
          <w:rFonts w:asciiTheme="minorHAnsi" w:hAnsiTheme="minorHAnsi"/>
        </w:rPr>
        <w:t>5</w:t>
      </w:r>
      <w:r w:rsidRPr="00DA1E7D">
        <w:rPr>
          <w:rFonts w:asciiTheme="minorHAnsi" w:hAnsiTheme="minorHAnsi"/>
        </w:rPr>
        <w:t xml:space="preserve"> y 2015 el aumento de llegadas de turistas internacionales al país se ha</w:t>
      </w:r>
      <w:r w:rsidR="00165961">
        <w:rPr>
          <w:rFonts w:asciiTheme="minorHAnsi" w:hAnsiTheme="minorHAnsi"/>
        </w:rPr>
        <w:t xml:space="preserve"> más que duplicado, ya que presenta un </w:t>
      </w:r>
      <w:r w:rsidRPr="00DA1E7D">
        <w:rPr>
          <w:rFonts w:asciiTheme="minorHAnsi" w:hAnsiTheme="minorHAnsi"/>
        </w:rPr>
        <w:t>increment</w:t>
      </w:r>
      <w:r w:rsidR="00165961">
        <w:rPr>
          <w:rFonts w:asciiTheme="minorHAnsi" w:hAnsiTheme="minorHAnsi"/>
        </w:rPr>
        <w:t>o acumulado en el período de</w:t>
      </w:r>
      <w:r w:rsidRPr="00DA1E7D">
        <w:rPr>
          <w:rFonts w:asciiTheme="minorHAnsi" w:hAnsiTheme="minorHAnsi"/>
        </w:rPr>
        <w:t xml:space="preserve"> en un 1</w:t>
      </w:r>
      <w:r w:rsidR="00165961">
        <w:rPr>
          <w:rFonts w:asciiTheme="minorHAnsi" w:hAnsiTheme="minorHAnsi"/>
        </w:rPr>
        <w:t>16</w:t>
      </w:r>
      <w:r w:rsidRPr="00DA1E7D">
        <w:rPr>
          <w:rFonts w:asciiTheme="minorHAnsi" w:hAnsiTheme="minorHAnsi"/>
        </w:rPr>
        <w:t xml:space="preserve">%, lo que implica un crecimiento promedio </w:t>
      </w:r>
      <w:r w:rsidRPr="00372508">
        <w:rPr>
          <w:rFonts w:asciiTheme="minorHAnsi" w:hAnsiTheme="minorHAnsi"/>
        </w:rPr>
        <w:t xml:space="preserve">anual de un </w:t>
      </w:r>
      <w:r w:rsidR="00165961">
        <w:rPr>
          <w:rFonts w:asciiTheme="minorHAnsi" w:hAnsiTheme="minorHAnsi"/>
        </w:rPr>
        <w:t>8</w:t>
      </w:r>
      <w:r w:rsidRPr="00372508">
        <w:rPr>
          <w:rFonts w:asciiTheme="minorHAnsi" w:hAnsiTheme="minorHAnsi"/>
        </w:rPr>
        <w:t>,</w:t>
      </w:r>
      <w:r w:rsidR="00165961">
        <w:rPr>
          <w:rFonts w:asciiTheme="minorHAnsi" w:hAnsiTheme="minorHAnsi"/>
        </w:rPr>
        <w:t>0</w:t>
      </w:r>
      <w:r w:rsidRPr="00372508">
        <w:rPr>
          <w:rFonts w:asciiTheme="minorHAnsi" w:hAnsiTheme="minorHAnsi"/>
        </w:rPr>
        <w:t>%.</w:t>
      </w:r>
    </w:p>
    <w:p w14:paraId="7468A2B9" w14:textId="77777777" w:rsidR="00865056" w:rsidRDefault="00865056" w:rsidP="00865056">
      <w:pPr>
        <w:spacing w:after="0"/>
        <w:jc w:val="both"/>
        <w:rPr>
          <w:rFonts w:asciiTheme="minorHAnsi" w:hAnsiTheme="minorHAnsi"/>
        </w:rPr>
      </w:pPr>
    </w:p>
    <w:p w14:paraId="6A3AB3FF" w14:textId="068240E9" w:rsidR="00865056" w:rsidRDefault="00865056" w:rsidP="00865056">
      <w:pPr>
        <w:spacing w:after="0"/>
        <w:jc w:val="both"/>
        <w:rPr>
          <w:rFonts w:asciiTheme="minorHAnsi" w:hAnsiTheme="minorHAnsi"/>
          <w:lang w:val="es-ES_tradnl"/>
        </w:rPr>
      </w:pPr>
      <w:r w:rsidRPr="00DA1E7D">
        <w:rPr>
          <w:rFonts w:asciiTheme="minorHAnsi" w:hAnsiTheme="minorHAnsi"/>
        </w:rPr>
        <w:t xml:space="preserve">El incremento en la llegada de turistas ha estado acompañado con incrementos en el ingreso de divisas provenientes del gasto de los turistas extranjeros. </w:t>
      </w:r>
      <w:r w:rsidRPr="00DA1E7D">
        <w:rPr>
          <w:rFonts w:asciiTheme="minorHAnsi" w:hAnsiTheme="minorHAnsi"/>
          <w:lang w:val="es-ES_tradnl"/>
        </w:rPr>
        <w:t xml:space="preserve">El ingreso de divisas por Turismo </w:t>
      </w:r>
      <w:r w:rsidR="00165961">
        <w:rPr>
          <w:rFonts w:asciiTheme="minorHAnsi" w:hAnsiTheme="minorHAnsi"/>
          <w:lang w:val="es-ES_tradnl"/>
        </w:rPr>
        <w:t xml:space="preserve">también </w:t>
      </w:r>
      <w:r w:rsidRPr="00DA1E7D">
        <w:rPr>
          <w:rFonts w:asciiTheme="minorHAnsi" w:hAnsiTheme="minorHAnsi"/>
          <w:lang w:val="es-ES_tradnl"/>
        </w:rPr>
        <w:t>se ha más que duplicado en los últimos 10 años</w:t>
      </w:r>
      <w:r w:rsidRPr="00DA1E7D">
        <w:rPr>
          <w:rStyle w:val="Refdenotaalpie"/>
          <w:rFonts w:asciiTheme="minorHAnsi" w:hAnsiTheme="minorHAnsi"/>
          <w:lang w:val="es-ES_tradnl"/>
        </w:rPr>
        <w:footnoteReference w:id="1"/>
      </w:r>
      <w:r w:rsidRPr="00DA1E7D">
        <w:rPr>
          <w:rFonts w:asciiTheme="minorHAnsi" w:hAnsiTheme="minorHAnsi"/>
          <w:lang w:val="es-ES_tradnl"/>
        </w:rPr>
        <w:t xml:space="preserve">, pasando de US$1.324 millones el 2005 a US$2.910 millones el 2015, con una tasa de crecimiento media </w:t>
      </w:r>
      <w:r w:rsidRPr="00372508">
        <w:rPr>
          <w:rFonts w:asciiTheme="minorHAnsi" w:hAnsiTheme="minorHAnsi"/>
          <w:lang w:val="es-ES_tradnl"/>
        </w:rPr>
        <w:t xml:space="preserve">anual de </w:t>
      </w:r>
      <w:r w:rsidR="00165961">
        <w:rPr>
          <w:rFonts w:asciiTheme="minorHAnsi" w:hAnsiTheme="minorHAnsi"/>
          <w:lang w:val="es-ES_tradnl"/>
        </w:rPr>
        <w:t>8</w:t>
      </w:r>
      <w:r w:rsidRPr="00372508">
        <w:rPr>
          <w:rFonts w:asciiTheme="minorHAnsi" w:hAnsiTheme="minorHAnsi"/>
          <w:lang w:val="es-ES_tradnl"/>
        </w:rPr>
        <w:t>,2% en estos 10</w:t>
      </w:r>
      <w:r w:rsidRPr="00DA1E7D">
        <w:rPr>
          <w:rFonts w:asciiTheme="minorHAnsi" w:hAnsiTheme="minorHAnsi"/>
          <w:lang w:val="es-ES_tradnl"/>
        </w:rPr>
        <w:t xml:space="preserve"> años. </w:t>
      </w:r>
    </w:p>
    <w:p w14:paraId="038CD37A" w14:textId="77777777" w:rsidR="00865056" w:rsidRDefault="00865056" w:rsidP="00865056">
      <w:pPr>
        <w:spacing w:after="0"/>
        <w:jc w:val="both"/>
        <w:rPr>
          <w:rFonts w:asciiTheme="minorHAnsi" w:hAnsiTheme="minorHAnsi"/>
          <w:lang w:val="es-ES_tradnl"/>
        </w:rPr>
      </w:pPr>
    </w:p>
    <w:p w14:paraId="4FA8103B" w14:textId="77777777" w:rsidR="00865056" w:rsidRPr="00DA1E7D" w:rsidRDefault="00865056" w:rsidP="00865056">
      <w:pPr>
        <w:spacing w:after="0" w:line="240" w:lineRule="auto"/>
        <w:jc w:val="center"/>
        <w:rPr>
          <w:rFonts w:asciiTheme="minorHAnsi" w:hAnsiTheme="minorHAnsi"/>
          <w:b/>
        </w:rPr>
      </w:pPr>
      <w:r w:rsidRPr="00DA1E7D">
        <w:rPr>
          <w:rFonts w:asciiTheme="minorHAnsi" w:hAnsiTheme="minorHAnsi"/>
          <w:b/>
        </w:rPr>
        <w:t>Llegada de Turistas (miles) y variación anual (%)</w:t>
      </w:r>
    </w:p>
    <w:p w14:paraId="4C9998FB" w14:textId="2556D703" w:rsidR="00865056" w:rsidRDefault="00865056" w:rsidP="00865056">
      <w:pPr>
        <w:spacing w:after="0"/>
        <w:jc w:val="center"/>
        <w:rPr>
          <w:rFonts w:asciiTheme="minorHAnsi" w:hAnsiTheme="minorHAnsi"/>
          <w:lang w:val="es-ES_tradnl"/>
        </w:rPr>
      </w:pPr>
      <w:r w:rsidRPr="00DA1E7D">
        <w:rPr>
          <w:rFonts w:asciiTheme="minorHAnsi" w:hAnsiTheme="minorHAnsi"/>
          <w:noProof/>
          <w:lang w:eastAsia="es-CL"/>
        </w:rPr>
        <w:drawing>
          <wp:inline distT="0" distB="0" distL="0" distR="0" wp14:anchorId="0F835B45" wp14:editId="3D511CFD">
            <wp:extent cx="4819650" cy="2905125"/>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0F03327" w14:textId="77777777" w:rsidR="00865056" w:rsidRPr="00865056" w:rsidRDefault="00865056" w:rsidP="00865056">
      <w:pPr>
        <w:spacing w:before="240"/>
        <w:ind w:right="49"/>
        <w:jc w:val="both"/>
        <w:rPr>
          <w:rFonts w:asciiTheme="minorHAnsi" w:hAnsiTheme="minorHAnsi"/>
          <w:sz w:val="18"/>
          <w:szCs w:val="18"/>
        </w:rPr>
      </w:pPr>
      <w:r w:rsidRPr="00865056">
        <w:rPr>
          <w:rFonts w:asciiTheme="minorHAnsi" w:hAnsiTheme="minorHAnsi"/>
          <w:sz w:val="18"/>
          <w:szCs w:val="18"/>
        </w:rPr>
        <w:t>Fuente: elaboración propia en base a información de Policía Internacional.</w:t>
      </w:r>
    </w:p>
    <w:p w14:paraId="2F355B16" w14:textId="77777777" w:rsidR="00865056" w:rsidRDefault="00865056" w:rsidP="00865056">
      <w:pPr>
        <w:spacing w:before="240"/>
        <w:ind w:right="49"/>
        <w:jc w:val="center"/>
        <w:rPr>
          <w:rFonts w:asciiTheme="minorHAnsi" w:hAnsiTheme="minorHAnsi"/>
          <w:b/>
        </w:rPr>
      </w:pPr>
    </w:p>
    <w:p w14:paraId="2CF42001" w14:textId="77777777" w:rsidR="00865056" w:rsidRDefault="00865056" w:rsidP="00865056">
      <w:pPr>
        <w:spacing w:before="240"/>
        <w:ind w:right="49"/>
        <w:jc w:val="center"/>
        <w:rPr>
          <w:rFonts w:asciiTheme="minorHAnsi" w:hAnsiTheme="minorHAnsi"/>
          <w:b/>
        </w:rPr>
      </w:pPr>
    </w:p>
    <w:p w14:paraId="2C7C8501" w14:textId="77777777" w:rsidR="00865056" w:rsidRDefault="00865056" w:rsidP="00865056">
      <w:pPr>
        <w:spacing w:before="240"/>
        <w:ind w:right="49"/>
        <w:jc w:val="center"/>
        <w:rPr>
          <w:rFonts w:asciiTheme="minorHAnsi" w:hAnsiTheme="minorHAnsi"/>
          <w:b/>
        </w:rPr>
      </w:pPr>
    </w:p>
    <w:p w14:paraId="10B9721F" w14:textId="77777777" w:rsidR="005138CE" w:rsidRDefault="005138CE">
      <w:pPr>
        <w:spacing w:after="0" w:line="240" w:lineRule="auto"/>
        <w:rPr>
          <w:rFonts w:asciiTheme="minorHAnsi" w:hAnsiTheme="minorHAnsi"/>
          <w:b/>
        </w:rPr>
      </w:pPr>
      <w:r>
        <w:rPr>
          <w:rFonts w:asciiTheme="minorHAnsi" w:hAnsiTheme="minorHAnsi"/>
          <w:b/>
        </w:rPr>
        <w:br w:type="page"/>
      </w:r>
    </w:p>
    <w:p w14:paraId="11060688" w14:textId="0DBC6D4A" w:rsidR="00865056" w:rsidRPr="00DA1E7D" w:rsidRDefault="00865056" w:rsidP="00865056">
      <w:pPr>
        <w:spacing w:before="240"/>
        <w:ind w:right="49"/>
        <w:jc w:val="center"/>
        <w:rPr>
          <w:rFonts w:asciiTheme="minorHAnsi" w:hAnsiTheme="minorHAnsi"/>
          <w:b/>
        </w:rPr>
      </w:pPr>
      <w:r w:rsidRPr="00DA1E7D">
        <w:rPr>
          <w:rFonts w:asciiTheme="minorHAnsi" w:hAnsiTheme="minorHAnsi"/>
          <w:b/>
        </w:rPr>
        <w:lastRenderedPageBreak/>
        <w:t>Llegada de turistas por países, continentes y variación (%)</w:t>
      </w:r>
    </w:p>
    <w:p w14:paraId="17F2A145" w14:textId="52218572" w:rsidR="00865056" w:rsidRPr="00865056" w:rsidRDefault="00865056" w:rsidP="00865056">
      <w:pPr>
        <w:spacing w:after="0"/>
        <w:jc w:val="center"/>
        <w:rPr>
          <w:rFonts w:asciiTheme="minorHAnsi" w:hAnsiTheme="minorHAnsi"/>
        </w:rPr>
      </w:pPr>
      <w:r w:rsidRPr="00DA1E7D">
        <w:rPr>
          <w:rFonts w:asciiTheme="minorHAnsi" w:hAnsiTheme="minorHAnsi"/>
          <w:noProof/>
          <w:lang w:eastAsia="es-CL"/>
        </w:rPr>
        <w:drawing>
          <wp:inline distT="0" distB="0" distL="0" distR="0" wp14:anchorId="6B0934C9" wp14:editId="2B7897B4">
            <wp:extent cx="5613400" cy="3199591"/>
            <wp:effectExtent l="0" t="0" r="6350" b="127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3400" cy="3199591"/>
                    </a:xfrm>
                    <a:prstGeom prst="rect">
                      <a:avLst/>
                    </a:prstGeom>
                    <a:noFill/>
                    <a:ln>
                      <a:noFill/>
                    </a:ln>
                  </pic:spPr>
                </pic:pic>
              </a:graphicData>
            </a:graphic>
          </wp:inline>
        </w:drawing>
      </w:r>
    </w:p>
    <w:p w14:paraId="72E89363" w14:textId="77777777" w:rsidR="00865056" w:rsidRDefault="00865056" w:rsidP="00865056">
      <w:pPr>
        <w:spacing w:before="240"/>
        <w:ind w:right="49"/>
        <w:jc w:val="both"/>
        <w:rPr>
          <w:rFonts w:asciiTheme="minorHAnsi" w:hAnsiTheme="minorHAnsi"/>
          <w:sz w:val="18"/>
          <w:szCs w:val="18"/>
        </w:rPr>
      </w:pPr>
      <w:r w:rsidRPr="00865056">
        <w:rPr>
          <w:rFonts w:asciiTheme="minorHAnsi" w:hAnsiTheme="minorHAnsi"/>
          <w:sz w:val="18"/>
          <w:szCs w:val="18"/>
        </w:rPr>
        <w:t>Fuente: elaboración propia en base a información de Policía Internacional.</w:t>
      </w:r>
    </w:p>
    <w:p w14:paraId="0C83C0C7" w14:textId="77777777" w:rsidR="00865056" w:rsidRPr="00865056" w:rsidRDefault="00865056" w:rsidP="00865056">
      <w:pPr>
        <w:spacing w:before="240"/>
        <w:ind w:right="49"/>
        <w:jc w:val="both"/>
        <w:rPr>
          <w:rFonts w:asciiTheme="minorHAnsi" w:hAnsiTheme="minorHAnsi"/>
          <w:sz w:val="18"/>
          <w:szCs w:val="18"/>
        </w:rPr>
      </w:pPr>
    </w:p>
    <w:p w14:paraId="052F8EBE" w14:textId="77777777" w:rsidR="00865056" w:rsidRPr="00DA1E7D" w:rsidRDefault="00865056" w:rsidP="00865056">
      <w:pPr>
        <w:spacing w:after="0" w:line="240" w:lineRule="auto"/>
        <w:jc w:val="center"/>
        <w:rPr>
          <w:rFonts w:asciiTheme="minorHAnsi" w:hAnsiTheme="minorHAnsi"/>
          <w:b/>
        </w:rPr>
      </w:pPr>
      <w:r w:rsidRPr="00DA1E7D">
        <w:rPr>
          <w:rFonts w:asciiTheme="minorHAnsi" w:hAnsiTheme="minorHAnsi"/>
          <w:b/>
        </w:rPr>
        <w:t>Ingreso de divisas (millones US$) y variación anual (%)</w:t>
      </w:r>
    </w:p>
    <w:p w14:paraId="6D377A3B" w14:textId="77777777" w:rsidR="00865056" w:rsidRDefault="00865056" w:rsidP="00865056">
      <w:pPr>
        <w:spacing w:after="0"/>
        <w:jc w:val="both"/>
        <w:rPr>
          <w:b/>
        </w:rPr>
      </w:pPr>
    </w:p>
    <w:p w14:paraId="672B71A6" w14:textId="77777777" w:rsidR="00865056" w:rsidRDefault="00865056" w:rsidP="00865056">
      <w:pPr>
        <w:spacing w:after="0"/>
        <w:jc w:val="center"/>
        <w:rPr>
          <w:b/>
        </w:rPr>
      </w:pPr>
      <w:r w:rsidRPr="00DA1E7D">
        <w:rPr>
          <w:rFonts w:asciiTheme="minorHAnsi" w:hAnsiTheme="minorHAnsi"/>
          <w:noProof/>
          <w:lang w:eastAsia="es-CL"/>
        </w:rPr>
        <w:drawing>
          <wp:inline distT="0" distB="0" distL="0" distR="0" wp14:anchorId="512AB15F" wp14:editId="6DE375EE">
            <wp:extent cx="4429125" cy="2743200"/>
            <wp:effectExtent l="0" t="0" r="9525"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2B43FB6" w14:textId="74F6FC15" w:rsidR="00865056" w:rsidRPr="00865056" w:rsidRDefault="00865056" w:rsidP="00865056">
      <w:pPr>
        <w:spacing w:after="0"/>
        <w:jc w:val="both"/>
        <w:rPr>
          <w:b/>
          <w:sz w:val="18"/>
          <w:szCs w:val="18"/>
        </w:rPr>
      </w:pPr>
      <w:r w:rsidRPr="00865056">
        <w:rPr>
          <w:b/>
          <w:sz w:val="18"/>
          <w:szCs w:val="18"/>
        </w:rPr>
        <w:t xml:space="preserve">               </w:t>
      </w:r>
      <w:r w:rsidRPr="00865056">
        <w:rPr>
          <w:rFonts w:asciiTheme="minorHAnsi" w:hAnsiTheme="minorHAnsi"/>
          <w:sz w:val="18"/>
          <w:szCs w:val="18"/>
        </w:rPr>
        <w:t>Fuente: Turismo receptivo, Subsecretaría de Turismo - Sernatur</w:t>
      </w:r>
    </w:p>
    <w:p w14:paraId="250D3FE4" w14:textId="77777777" w:rsidR="00865056" w:rsidRPr="00865056" w:rsidRDefault="00865056">
      <w:pPr>
        <w:spacing w:after="0" w:line="240" w:lineRule="auto"/>
        <w:rPr>
          <w:b/>
        </w:rPr>
      </w:pPr>
    </w:p>
    <w:p w14:paraId="0235CBEC" w14:textId="77777777" w:rsidR="00925CBA" w:rsidRDefault="00925CBA" w:rsidP="00925CBA">
      <w:pPr>
        <w:pStyle w:val="Prrafodelista"/>
        <w:numPr>
          <w:ilvl w:val="0"/>
          <w:numId w:val="25"/>
        </w:numPr>
        <w:spacing w:after="0" w:line="240" w:lineRule="auto"/>
        <w:jc w:val="both"/>
        <w:rPr>
          <w:b/>
          <w:lang w:val="es-ES_tradnl"/>
        </w:rPr>
      </w:pPr>
      <w:r>
        <w:rPr>
          <w:b/>
          <w:lang w:val="es-ES_tradnl"/>
        </w:rPr>
        <w:lastRenderedPageBreak/>
        <w:t>Proyección llegadas al 2020</w:t>
      </w:r>
    </w:p>
    <w:p w14:paraId="23D3336D" w14:textId="77777777" w:rsidR="00925CBA" w:rsidRDefault="00925CBA" w:rsidP="00925CBA">
      <w:pPr>
        <w:spacing w:after="0" w:line="240" w:lineRule="auto"/>
        <w:jc w:val="both"/>
        <w:rPr>
          <w:b/>
          <w:lang w:val="es-ES_tradnl"/>
        </w:rPr>
      </w:pPr>
    </w:p>
    <w:p w14:paraId="1E6E8127" w14:textId="1919E074" w:rsidR="00925CBA" w:rsidRDefault="00925CBA" w:rsidP="00925CBA">
      <w:pPr>
        <w:jc w:val="both"/>
        <w:rPr>
          <w:lang w:eastAsia="es-CL"/>
        </w:rPr>
      </w:pPr>
      <w:r>
        <w:rPr>
          <w:lang w:eastAsia="es-CL"/>
        </w:rPr>
        <w:t xml:space="preserve">El año 2015 se registró una variación positiva 15/14 de un +21,9% en la llegada de turistas extranjeros, o sea alrededor de 800 mil llegadas. Para lograr una proyección plausible al año 2020, se consideró el establecer una Tasa de Variación Media Acumulada a 5 periodos en función de los registros históricos. De esta manera, se proyecta una Tasa promedio anual de un +7,0% para el periodo 2015-2020, alcanzando entonces para este último año </w:t>
      </w:r>
      <w:r w:rsidRPr="00925CBA">
        <w:rPr>
          <w:b/>
          <w:lang w:eastAsia="es-CL"/>
        </w:rPr>
        <w:t>(2020) un total de 6.292.757 llegadas de turistas</w:t>
      </w:r>
      <w:r>
        <w:rPr>
          <w:lang w:eastAsia="es-CL"/>
        </w:rPr>
        <w:t xml:space="preserve">, de acuerdo a un escenario moderado. </w:t>
      </w:r>
    </w:p>
    <w:p w14:paraId="105D70D0" w14:textId="4C32F94D" w:rsidR="00925CBA" w:rsidRDefault="00925CBA" w:rsidP="00925CBA">
      <w:pPr>
        <w:jc w:val="both"/>
        <w:rPr>
          <w:lang w:eastAsia="es-CL"/>
        </w:rPr>
      </w:pPr>
      <w:r>
        <w:rPr>
          <w:lang w:eastAsia="es-CL"/>
        </w:rPr>
        <w:t xml:space="preserve">Cabe considerar que para ello, se tuvo que estimar desde el año 2016, estimación en la cual se consideró el peso relativo histórico del periodo enero-mayo sobre el total anual. Así, se consigue establecer escenarios plausibles, considerando finalmente el peso relativo mediano de los últimos 5 años. Mediante este criterio, se alcanzarían entonces entre 5,37 a 5,84 llegadas de turistas el presente año 2016. </w:t>
      </w:r>
      <w:r w:rsidRPr="000B675B">
        <w:rPr>
          <w:b/>
          <w:lang w:eastAsia="es-CL"/>
        </w:rPr>
        <w:t>Se ha estimado que la llegada de turistas para el 2016 podría estar cercana entonces a los 5,</w:t>
      </w:r>
      <w:r w:rsidR="000B675B" w:rsidRPr="000B675B">
        <w:rPr>
          <w:b/>
          <w:lang w:eastAsia="es-CL"/>
        </w:rPr>
        <w:t>6</w:t>
      </w:r>
      <w:r w:rsidRPr="000B675B">
        <w:rPr>
          <w:b/>
          <w:lang w:eastAsia="es-CL"/>
        </w:rPr>
        <w:t xml:space="preserve"> millones de turistas extranjeros.</w:t>
      </w:r>
      <w:r w:rsidR="00AA31C6">
        <w:rPr>
          <w:b/>
          <w:lang w:eastAsia="es-CL"/>
        </w:rPr>
        <w:t xml:space="preserve"> Esto implica un crecimiento de un 25% respecto a las llegadas del 2015.</w:t>
      </w:r>
      <w:bookmarkStart w:id="0" w:name="_GoBack"/>
      <w:bookmarkEnd w:id="0"/>
    </w:p>
    <w:p w14:paraId="3F1BF176" w14:textId="47B522B8" w:rsidR="00925CBA" w:rsidRDefault="00925CBA" w:rsidP="00925CBA">
      <w:pPr>
        <w:jc w:val="both"/>
      </w:pPr>
      <w:r w:rsidRPr="007656B1">
        <w:t xml:space="preserve">La proyección establecida al año 2020, </w:t>
      </w:r>
      <w:r>
        <w:t>considera una Tasa de Variación Media Anual a 5 periodos de un +7,0%, el cual corresponde a la mediana de los registros de este indicador en los últimos 7 años.</w:t>
      </w:r>
    </w:p>
    <w:p w14:paraId="2E0B2046" w14:textId="74AF88E2" w:rsidR="00925CBA" w:rsidRDefault="00925CBA" w:rsidP="00925CBA">
      <w:pPr>
        <w:pStyle w:val="Descripcin"/>
        <w:keepNext/>
      </w:pPr>
      <w:r w:rsidRPr="00B57CE3">
        <w:t xml:space="preserve">Proyección llegada de turistas </w:t>
      </w:r>
      <w:r>
        <w:t xml:space="preserve">extranjeros al año </w:t>
      </w:r>
      <w:r w:rsidRPr="00B57CE3">
        <w:t>2020</w:t>
      </w:r>
      <w:r>
        <w:t xml:space="preserve"> según escenarios plausibles.</w:t>
      </w:r>
    </w:p>
    <w:tbl>
      <w:tblPr>
        <w:tblStyle w:val="Tabladecuadrcula4-nfasis1"/>
        <w:tblW w:w="7448" w:type="dxa"/>
        <w:tblLook w:val="04A0" w:firstRow="1" w:lastRow="0" w:firstColumn="1" w:lastColumn="0" w:noHBand="0" w:noVBand="1"/>
      </w:tblPr>
      <w:tblGrid>
        <w:gridCol w:w="1222"/>
        <w:gridCol w:w="1291"/>
        <w:gridCol w:w="1727"/>
        <w:gridCol w:w="1764"/>
        <w:gridCol w:w="1444"/>
      </w:tblGrid>
      <w:tr w:rsidR="00925CBA" w:rsidRPr="00E87CEB" w14:paraId="009AAD1C" w14:textId="77777777" w:rsidTr="006760F7">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222" w:type="dxa"/>
            <w:noWrap/>
            <w:hideMark/>
          </w:tcPr>
          <w:p w14:paraId="7BE1E030" w14:textId="77777777" w:rsidR="00925CBA" w:rsidRPr="00E87CEB" w:rsidRDefault="00925CBA" w:rsidP="006760F7">
            <w:pPr>
              <w:rPr>
                <w:rFonts w:ascii="Calibri" w:eastAsia="Times New Roman" w:hAnsi="Calibri" w:cs="Times New Roman"/>
                <w:color w:val="000000"/>
                <w:lang w:eastAsia="es-CL"/>
              </w:rPr>
            </w:pPr>
            <w:r w:rsidRPr="00E87CEB">
              <w:rPr>
                <w:rFonts w:ascii="Calibri" w:eastAsia="Times New Roman" w:hAnsi="Calibri" w:cs="Times New Roman"/>
                <w:color w:val="000000"/>
                <w:lang w:eastAsia="es-CL"/>
              </w:rPr>
              <w:t> </w:t>
            </w:r>
          </w:p>
        </w:tc>
        <w:tc>
          <w:tcPr>
            <w:tcW w:w="1291" w:type="dxa"/>
            <w:noWrap/>
            <w:vAlign w:val="center"/>
            <w:hideMark/>
          </w:tcPr>
          <w:p w14:paraId="23628B93" w14:textId="77777777" w:rsidR="00925CBA" w:rsidRPr="005E61A8" w:rsidRDefault="00925CBA" w:rsidP="006760F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lang w:eastAsia="es-CL"/>
              </w:rPr>
            </w:pPr>
            <w:r w:rsidRPr="005E61A8">
              <w:rPr>
                <w:rFonts w:ascii="Calibri" w:eastAsia="Times New Roman" w:hAnsi="Calibri" w:cs="Times New Roman"/>
                <w:color w:val="000000"/>
                <w:lang w:eastAsia="es-CL"/>
              </w:rPr>
              <w:t>Escenario</w:t>
            </w:r>
          </w:p>
        </w:tc>
        <w:tc>
          <w:tcPr>
            <w:tcW w:w="1727" w:type="dxa"/>
            <w:noWrap/>
            <w:vAlign w:val="center"/>
            <w:hideMark/>
          </w:tcPr>
          <w:p w14:paraId="16913CE1" w14:textId="77777777" w:rsidR="00925CBA" w:rsidRPr="00217105" w:rsidRDefault="00925CBA" w:rsidP="006760F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lang w:eastAsia="es-CL"/>
              </w:rPr>
            </w:pPr>
            <w:r>
              <w:rPr>
                <w:rFonts w:ascii="Calibri" w:eastAsia="Times New Roman" w:hAnsi="Calibri" w:cs="Times New Roman"/>
                <w:lang w:eastAsia="es-CL"/>
              </w:rPr>
              <w:t>Ene-dic 2015</w:t>
            </w:r>
          </w:p>
        </w:tc>
        <w:tc>
          <w:tcPr>
            <w:tcW w:w="1764" w:type="dxa"/>
            <w:noWrap/>
            <w:vAlign w:val="center"/>
            <w:hideMark/>
          </w:tcPr>
          <w:p w14:paraId="5CD9393C" w14:textId="77777777" w:rsidR="00925CBA" w:rsidRPr="00217105" w:rsidRDefault="00925CBA" w:rsidP="006760F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lang w:eastAsia="es-CL"/>
              </w:rPr>
            </w:pPr>
            <w:r w:rsidRPr="00217105">
              <w:rPr>
                <w:rFonts w:ascii="Calibri" w:eastAsia="Times New Roman" w:hAnsi="Calibri" w:cs="Times New Roman"/>
                <w:lang w:eastAsia="es-CL"/>
              </w:rPr>
              <w:t xml:space="preserve">TVMA </w:t>
            </w:r>
            <w:r>
              <w:rPr>
                <w:rFonts w:ascii="Calibri" w:eastAsia="Times New Roman" w:hAnsi="Calibri" w:cs="Times New Roman"/>
                <w:lang w:eastAsia="es-CL"/>
              </w:rPr>
              <w:t xml:space="preserve">(%) </w:t>
            </w:r>
            <w:r w:rsidRPr="00217105">
              <w:rPr>
                <w:rFonts w:ascii="Calibri" w:eastAsia="Times New Roman" w:hAnsi="Calibri" w:cs="Times New Roman"/>
                <w:lang w:eastAsia="es-CL"/>
              </w:rPr>
              <w:t>5 per</w:t>
            </w:r>
            <w:r>
              <w:rPr>
                <w:rFonts w:ascii="Calibri" w:eastAsia="Times New Roman" w:hAnsi="Calibri" w:cs="Times New Roman"/>
                <w:lang w:eastAsia="es-CL"/>
              </w:rPr>
              <w:t>iodos anual</w:t>
            </w:r>
          </w:p>
        </w:tc>
        <w:tc>
          <w:tcPr>
            <w:tcW w:w="1444" w:type="dxa"/>
            <w:noWrap/>
            <w:vAlign w:val="center"/>
            <w:hideMark/>
          </w:tcPr>
          <w:p w14:paraId="1475A72A" w14:textId="77777777" w:rsidR="00925CBA" w:rsidRPr="00217105" w:rsidRDefault="00925CBA" w:rsidP="006760F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lang w:eastAsia="es-CL"/>
              </w:rPr>
            </w:pPr>
            <w:r w:rsidRPr="00217105">
              <w:rPr>
                <w:rFonts w:ascii="Calibri" w:eastAsia="Times New Roman" w:hAnsi="Calibri" w:cs="Times New Roman"/>
                <w:lang w:eastAsia="es-CL"/>
              </w:rPr>
              <w:t xml:space="preserve">2020 </w:t>
            </w:r>
            <w:r>
              <w:rPr>
                <w:rFonts w:ascii="Calibri" w:eastAsia="Times New Roman" w:hAnsi="Calibri" w:cs="Times New Roman"/>
                <w:lang w:eastAsia="es-CL"/>
              </w:rPr>
              <w:t>Proyectado (P)</w:t>
            </w:r>
          </w:p>
        </w:tc>
      </w:tr>
      <w:tr w:rsidR="00925CBA" w:rsidRPr="00E87CEB" w14:paraId="7EC6F172" w14:textId="77777777" w:rsidTr="006760F7">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222" w:type="dxa"/>
            <w:noWrap/>
            <w:hideMark/>
          </w:tcPr>
          <w:p w14:paraId="48EFBD26" w14:textId="77777777" w:rsidR="00925CBA" w:rsidRPr="00972AC4" w:rsidRDefault="00925CBA" w:rsidP="006760F7">
            <w:pPr>
              <w:rPr>
                <w:rFonts w:ascii="Calibri" w:eastAsia="Times New Roman" w:hAnsi="Calibri" w:cs="Times New Roman"/>
                <w:lang w:eastAsia="es-CL"/>
              </w:rPr>
            </w:pPr>
            <w:r w:rsidRPr="00972AC4">
              <w:rPr>
                <w:rFonts w:ascii="Calibri" w:eastAsia="Times New Roman" w:hAnsi="Calibri" w:cs="Times New Roman"/>
                <w:lang w:eastAsia="es-CL"/>
              </w:rPr>
              <w:t>20</w:t>
            </w:r>
            <w:r>
              <w:rPr>
                <w:rFonts w:ascii="Calibri" w:eastAsia="Times New Roman" w:hAnsi="Calibri" w:cs="Times New Roman"/>
                <w:lang w:eastAsia="es-CL"/>
              </w:rPr>
              <w:t>20</w:t>
            </w:r>
            <w:r w:rsidRPr="00972AC4">
              <w:rPr>
                <w:rFonts w:ascii="Calibri" w:eastAsia="Times New Roman" w:hAnsi="Calibri" w:cs="Times New Roman"/>
                <w:lang w:eastAsia="es-CL"/>
              </w:rPr>
              <w:t xml:space="preserve"> </w:t>
            </w:r>
            <w:r>
              <w:rPr>
                <w:rFonts w:ascii="Calibri" w:eastAsia="Times New Roman" w:hAnsi="Calibri" w:cs="Times New Roman"/>
                <w:lang w:eastAsia="es-CL"/>
              </w:rPr>
              <w:t>(P)</w:t>
            </w:r>
          </w:p>
        </w:tc>
        <w:tc>
          <w:tcPr>
            <w:tcW w:w="1291" w:type="dxa"/>
            <w:noWrap/>
            <w:hideMark/>
          </w:tcPr>
          <w:p w14:paraId="30383A91" w14:textId="77777777" w:rsidR="00925CBA" w:rsidRPr="00972AC4" w:rsidRDefault="00925CBA" w:rsidP="006760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sz w:val="20"/>
                <w:lang w:eastAsia="es-CL"/>
              </w:rPr>
            </w:pPr>
            <w:r w:rsidRPr="00972AC4">
              <w:rPr>
                <w:rFonts w:ascii="Calibri" w:eastAsia="Times New Roman" w:hAnsi="Calibri" w:cs="Times New Roman"/>
                <w:bCs/>
                <w:sz w:val="20"/>
                <w:lang w:eastAsia="es-CL"/>
              </w:rPr>
              <w:t>Moderado</w:t>
            </w:r>
          </w:p>
        </w:tc>
        <w:tc>
          <w:tcPr>
            <w:tcW w:w="1727" w:type="dxa"/>
            <w:noWrap/>
            <w:hideMark/>
          </w:tcPr>
          <w:p w14:paraId="782B90DC" w14:textId="77777777" w:rsidR="00925CBA" w:rsidRPr="00972AC4" w:rsidRDefault="00925CBA" w:rsidP="006760F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sz w:val="20"/>
                <w:lang w:eastAsia="es-CL"/>
              </w:rPr>
            </w:pPr>
            <w:r w:rsidRPr="00972AC4">
              <w:rPr>
                <w:rFonts w:ascii="Calibri" w:eastAsia="Times New Roman" w:hAnsi="Calibri" w:cs="Times New Roman"/>
                <w:bCs/>
                <w:sz w:val="20"/>
                <w:lang w:eastAsia="es-CL"/>
              </w:rPr>
              <w:t xml:space="preserve">        4.478.336</w:t>
            </w:r>
          </w:p>
        </w:tc>
        <w:tc>
          <w:tcPr>
            <w:tcW w:w="1764" w:type="dxa"/>
            <w:noWrap/>
            <w:hideMark/>
          </w:tcPr>
          <w:p w14:paraId="3A612D00" w14:textId="77777777" w:rsidR="00925CBA" w:rsidRPr="00972AC4" w:rsidRDefault="00925CBA" w:rsidP="006760F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sz w:val="20"/>
                <w:lang w:eastAsia="es-CL"/>
              </w:rPr>
            </w:pPr>
            <w:r w:rsidRPr="00972AC4">
              <w:rPr>
                <w:rFonts w:ascii="Calibri" w:eastAsia="Times New Roman" w:hAnsi="Calibri" w:cs="Times New Roman"/>
                <w:bCs/>
                <w:sz w:val="20"/>
                <w:lang w:eastAsia="es-CL"/>
              </w:rPr>
              <w:t>5,7%</w:t>
            </w:r>
          </w:p>
        </w:tc>
        <w:tc>
          <w:tcPr>
            <w:tcW w:w="1444" w:type="dxa"/>
            <w:noWrap/>
            <w:hideMark/>
          </w:tcPr>
          <w:p w14:paraId="3D083430" w14:textId="77777777" w:rsidR="00925CBA" w:rsidRPr="00972AC4" w:rsidRDefault="00925CBA" w:rsidP="006760F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sz w:val="20"/>
                <w:lang w:eastAsia="es-CL"/>
              </w:rPr>
            </w:pPr>
            <w:r w:rsidRPr="00972AC4">
              <w:rPr>
                <w:rFonts w:ascii="Calibri" w:eastAsia="Times New Roman" w:hAnsi="Calibri" w:cs="Times New Roman"/>
                <w:bCs/>
                <w:sz w:val="20"/>
                <w:lang w:eastAsia="es-CL"/>
              </w:rPr>
              <w:t xml:space="preserve">   </w:t>
            </w:r>
            <w:r w:rsidRPr="00934DB5">
              <w:rPr>
                <w:rFonts w:ascii="Calibri" w:eastAsia="Times New Roman" w:hAnsi="Calibri" w:cs="Times New Roman"/>
                <w:bCs/>
                <w:sz w:val="20"/>
                <w:lang w:eastAsia="es-CL"/>
              </w:rPr>
              <w:t xml:space="preserve"> 5.909.705 </w:t>
            </w:r>
            <w:r w:rsidRPr="00972AC4">
              <w:rPr>
                <w:rFonts w:ascii="Calibri" w:eastAsia="Times New Roman" w:hAnsi="Calibri" w:cs="Times New Roman"/>
                <w:bCs/>
                <w:sz w:val="20"/>
                <w:lang w:eastAsia="es-CL"/>
              </w:rPr>
              <w:t xml:space="preserve"> </w:t>
            </w:r>
          </w:p>
        </w:tc>
      </w:tr>
      <w:tr w:rsidR="00925CBA" w:rsidRPr="00E87CEB" w14:paraId="0B87B208" w14:textId="77777777" w:rsidTr="006760F7">
        <w:trPr>
          <w:trHeight w:val="337"/>
        </w:trPr>
        <w:tc>
          <w:tcPr>
            <w:cnfStyle w:val="001000000000" w:firstRow="0" w:lastRow="0" w:firstColumn="1" w:lastColumn="0" w:oddVBand="0" w:evenVBand="0" w:oddHBand="0" w:evenHBand="0" w:firstRowFirstColumn="0" w:firstRowLastColumn="0" w:lastRowFirstColumn="0" w:lastRowLastColumn="0"/>
            <w:tcW w:w="1222" w:type="dxa"/>
            <w:noWrap/>
            <w:hideMark/>
          </w:tcPr>
          <w:p w14:paraId="3129A4B7" w14:textId="77777777" w:rsidR="00925CBA" w:rsidRPr="00972AC4" w:rsidRDefault="00925CBA" w:rsidP="006760F7">
            <w:pPr>
              <w:rPr>
                <w:rFonts w:ascii="Calibri" w:eastAsia="Times New Roman" w:hAnsi="Calibri" w:cs="Times New Roman"/>
                <w:lang w:eastAsia="es-CL"/>
              </w:rPr>
            </w:pPr>
            <w:r w:rsidRPr="00972AC4">
              <w:rPr>
                <w:rFonts w:ascii="Calibri" w:eastAsia="Times New Roman" w:hAnsi="Calibri" w:cs="Times New Roman"/>
                <w:lang w:eastAsia="es-CL"/>
              </w:rPr>
              <w:t> </w:t>
            </w:r>
          </w:p>
        </w:tc>
        <w:tc>
          <w:tcPr>
            <w:tcW w:w="1291" w:type="dxa"/>
            <w:noWrap/>
            <w:hideMark/>
          </w:tcPr>
          <w:p w14:paraId="25A0D587" w14:textId="77777777" w:rsidR="00925CBA" w:rsidRPr="00B83DCC" w:rsidRDefault="00925CBA" w:rsidP="006760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4"/>
                <w:lang w:eastAsia="es-CL"/>
              </w:rPr>
            </w:pPr>
            <w:r w:rsidRPr="00B83DCC">
              <w:rPr>
                <w:rFonts w:ascii="Calibri" w:eastAsia="Times New Roman" w:hAnsi="Calibri" w:cs="Times New Roman"/>
                <w:b/>
                <w:bCs/>
                <w:sz w:val="20"/>
                <w:szCs w:val="24"/>
                <w:lang w:eastAsia="es-CL"/>
              </w:rPr>
              <w:t>Neutro</w:t>
            </w:r>
          </w:p>
        </w:tc>
        <w:tc>
          <w:tcPr>
            <w:tcW w:w="1727" w:type="dxa"/>
            <w:noWrap/>
            <w:hideMark/>
          </w:tcPr>
          <w:p w14:paraId="262C55BD" w14:textId="77777777" w:rsidR="00925CBA" w:rsidRPr="00B83DCC" w:rsidRDefault="00925CBA" w:rsidP="006760F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4"/>
                <w:lang w:eastAsia="es-CL"/>
              </w:rPr>
            </w:pPr>
            <w:r w:rsidRPr="00B83DCC">
              <w:rPr>
                <w:rFonts w:ascii="Calibri" w:eastAsia="Times New Roman" w:hAnsi="Calibri" w:cs="Times New Roman"/>
                <w:b/>
                <w:bCs/>
                <w:sz w:val="20"/>
                <w:szCs w:val="24"/>
                <w:lang w:eastAsia="es-CL"/>
              </w:rPr>
              <w:t xml:space="preserve">    4.478.336</w:t>
            </w:r>
          </w:p>
        </w:tc>
        <w:tc>
          <w:tcPr>
            <w:tcW w:w="1764" w:type="dxa"/>
            <w:noWrap/>
            <w:hideMark/>
          </w:tcPr>
          <w:p w14:paraId="0DE20842" w14:textId="77777777" w:rsidR="00925CBA" w:rsidRPr="00B83DCC" w:rsidRDefault="00925CBA" w:rsidP="006760F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4"/>
                <w:lang w:eastAsia="es-CL"/>
              </w:rPr>
            </w:pPr>
            <w:r w:rsidRPr="00B83DCC">
              <w:rPr>
                <w:rFonts w:ascii="Calibri" w:eastAsia="Times New Roman" w:hAnsi="Calibri" w:cs="Times New Roman"/>
                <w:b/>
                <w:bCs/>
                <w:sz w:val="20"/>
                <w:szCs w:val="24"/>
                <w:lang w:eastAsia="es-CL"/>
              </w:rPr>
              <w:t>7,0%</w:t>
            </w:r>
          </w:p>
        </w:tc>
        <w:tc>
          <w:tcPr>
            <w:tcW w:w="1444" w:type="dxa"/>
            <w:noWrap/>
            <w:hideMark/>
          </w:tcPr>
          <w:p w14:paraId="3363823A" w14:textId="77777777" w:rsidR="00925CBA" w:rsidRPr="00B83DCC" w:rsidRDefault="00925CBA" w:rsidP="006760F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4"/>
                <w:lang w:eastAsia="es-CL"/>
              </w:rPr>
            </w:pPr>
            <w:r w:rsidRPr="00B83DCC">
              <w:rPr>
                <w:rFonts w:ascii="Calibri" w:eastAsia="Times New Roman" w:hAnsi="Calibri" w:cs="Times New Roman"/>
                <w:b/>
                <w:bCs/>
                <w:sz w:val="20"/>
                <w:szCs w:val="24"/>
                <w:lang w:eastAsia="es-CL"/>
              </w:rPr>
              <w:t xml:space="preserve">    6.292.757</w:t>
            </w:r>
          </w:p>
        </w:tc>
      </w:tr>
      <w:tr w:rsidR="00925CBA" w:rsidRPr="00E87CEB" w14:paraId="6FFEBC47" w14:textId="77777777" w:rsidTr="006760F7">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222" w:type="dxa"/>
            <w:noWrap/>
            <w:hideMark/>
          </w:tcPr>
          <w:p w14:paraId="6FC590E7" w14:textId="77777777" w:rsidR="00925CBA" w:rsidRPr="00972AC4" w:rsidRDefault="00925CBA" w:rsidP="006760F7">
            <w:pPr>
              <w:rPr>
                <w:rFonts w:ascii="Calibri" w:eastAsia="Times New Roman" w:hAnsi="Calibri" w:cs="Times New Roman"/>
                <w:lang w:eastAsia="es-CL"/>
              </w:rPr>
            </w:pPr>
            <w:r w:rsidRPr="00972AC4">
              <w:rPr>
                <w:rFonts w:ascii="Calibri" w:eastAsia="Times New Roman" w:hAnsi="Calibri" w:cs="Times New Roman"/>
                <w:lang w:eastAsia="es-CL"/>
              </w:rPr>
              <w:t> </w:t>
            </w:r>
          </w:p>
        </w:tc>
        <w:tc>
          <w:tcPr>
            <w:tcW w:w="1291" w:type="dxa"/>
            <w:noWrap/>
            <w:hideMark/>
          </w:tcPr>
          <w:p w14:paraId="0954F05F" w14:textId="77777777" w:rsidR="00925CBA" w:rsidRPr="00972AC4" w:rsidRDefault="00925CBA" w:rsidP="006760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lang w:eastAsia="es-CL"/>
              </w:rPr>
            </w:pPr>
            <w:r w:rsidRPr="00972AC4">
              <w:rPr>
                <w:rFonts w:ascii="Calibri" w:eastAsia="Times New Roman" w:hAnsi="Calibri" w:cs="Times New Roman"/>
                <w:sz w:val="20"/>
                <w:lang w:eastAsia="es-CL"/>
              </w:rPr>
              <w:t>Optimista</w:t>
            </w:r>
          </w:p>
        </w:tc>
        <w:tc>
          <w:tcPr>
            <w:tcW w:w="1727" w:type="dxa"/>
            <w:noWrap/>
            <w:hideMark/>
          </w:tcPr>
          <w:p w14:paraId="1A962922" w14:textId="77777777" w:rsidR="00925CBA" w:rsidRPr="00972AC4" w:rsidRDefault="00925CBA" w:rsidP="006760F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lang w:eastAsia="es-CL"/>
              </w:rPr>
            </w:pPr>
            <w:r w:rsidRPr="00972AC4">
              <w:rPr>
                <w:rFonts w:ascii="Calibri" w:eastAsia="Times New Roman" w:hAnsi="Calibri" w:cs="Times New Roman"/>
                <w:sz w:val="20"/>
                <w:lang w:eastAsia="es-CL"/>
              </w:rPr>
              <w:t xml:space="preserve">        4.478.336</w:t>
            </w:r>
          </w:p>
        </w:tc>
        <w:tc>
          <w:tcPr>
            <w:tcW w:w="1764" w:type="dxa"/>
            <w:noWrap/>
            <w:hideMark/>
          </w:tcPr>
          <w:p w14:paraId="0DB4AECF" w14:textId="77777777" w:rsidR="00925CBA" w:rsidRPr="00972AC4" w:rsidRDefault="00925CBA" w:rsidP="006760F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lang w:eastAsia="es-CL"/>
              </w:rPr>
            </w:pPr>
            <w:r w:rsidRPr="00972AC4">
              <w:rPr>
                <w:rFonts w:ascii="Calibri" w:eastAsia="Times New Roman" w:hAnsi="Calibri" w:cs="Times New Roman"/>
                <w:sz w:val="20"/>
                <w:lang w:eastAsia="es-CL"/>
              </w:rPr>
              <w:t>10,9%</w:t>
            </w:r>
          </w:p>
        </w:tc>
        <w:tc>
          <w:tcPr>
            <w:tcW w:w="1444" w:type="dxa"/>
            <w:noWrap/>
            <w:hideMark/>
          </w:tcPr>
          <w:p w14:paraId="67A2EA2D" w14:textId="77777777" w:rsidR="00925CBA" w:rsidRPr="00972AC4" w:rsidRDefault="00925CBA" w:rsidP="006760F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lang w:eastAsia="es-CL"/>
              </w:rPr>
            </w:pPr>
            <w:r w:rsidRPr="00972AC4">
              <w:rPr>
                <w:rFonts w:ascii="Calibri" w:eastAsia="Times New Roman" w:hAnsi="Calibri" w:cs="Times New Roman"/>
                <w:sz w:val="20"/>
                <w:lang w:eastAsia="es-CL"/>
              </w:rPr>
              <w:t xml:space="preserve">    </w:t>
            </w:r>
            <w:r w:rsidRPr="00934DB5">
              <w:rPr>
                <w:rFonts w:ascii="Calibri" w:eastAsia="Times New Roman" w:hAnsi="Calibri" w:cs="Times New Roman"/>
                <w:sz w:val="20"/>
                <w:lang w:eastAsia="es-CL"/>
              </w:rPr>
              <w:t xml:space="preserve"> 7.521.677</w:t>
            </w:r>
          </w:p>
        </w:tc>
      </w:tr>
    </w:tbl>
    <w:p w14:paraId="1A89DA45" w14:textId="77777777" w:rsidR="00925CBA" w:rsidRDefault="00925CBA" w:rsidP="00925CBA"/>
    <w:p w14:paraId="358740E4" w14:textId="0D232A49" w:rsidR="00925CBA" w:rsidRDefault="00925CBA" w:rsidP="00925CBA">
      <w:pPr>
        <w:pStyle w:val="Descripcin"/>
        <w:keepNext/>
      </w:pPr>
      <w:r w:rsidRPr="00EE78CB">
        <w:lastRenderedPageBreak/>
        <w:t>Proyección llegada de turistas 2020</w:t>
      </w:r>
      <w:r>
        <w:t xml:space="preserve"> considerando escenario “neutro”.</w:t>
      </w:r>
    </w:p>
    <w:p w14:paraId="20D12AAB" w14:textId="77777777" w:rsidR="00925CBA" w:rsidRDefault="00925CBA" w:rsidP="00925CBA">
      <w:r>
        <w:rPr>
          <w:noProof/>
          <w:lang w:eastAsia="es-CL"/>
        </w:rPr>
        <w:drawing>
          <wp:inline distT="0" distB="0" distL="0" distR="0" wp14:anchorId="198C301E" wp14:editId="321EC01F">
            <wp:extent cx="4572000" cy="2352675"/>
            <wp:effectExtent l="0" t="0" r="0" b="9525"/>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824BDC8" w14:textId="64DCC831" w:rsidR="00925CBA" w:rsidRPr="00925CBA" w:rsidRDefault="00372508" w:rsidP="00925CBA">
      <w:pPr>
        <w:spacing w:after="0" w:line="240" w:lineRule="auto"/>
        <w:jc w:val="both"/>
        <w:rPr>
          <w:b/>
          <w:lang w:val="es-ES_tradnl"/>
        </w:rPr>
      </w:pPr>
      <w:r w:rsidRPr="00925CBA">
        <w:rPr>
          <w:b/>
          <w:lang w:val="es-ES_tradnl"/>
        </w:rPr>
        <w:br w:type="page"/>
      </w:r>
    </w:p>
    <w:p w14:paraId="7F50D9D1" w14:textId="566C9E56" w:rsidR="00E97A0C" w:rsidRPr="00925CBA" w:rsidRDefault="00E97A0C" w:rsidP="00D03E26">
      <w:pPr>
        <w:pStyle w:val="Prrafodelista"/>
        <w:numPr>
          <w:ilvl w:val="0"/>
          <w:numId w:val="25"/>
        </w:numPr>
        <w:spacing w:after="0" w:line="240" w:lineRule="auto"/>
        <w:jc w:val="both"/>
        <w:rPr>
          <w:b/>
          <w:lang w:val="es-ES_tradnl"/>
        </w:rPr>
      </w:pPr>
      <w:r w:rsidRPr="00925CBA">
        <w:rPr>
          <w:b/>
          <w:lang w:val="es-ES_tradnl"/>
        </w:rPr>
        <w:lastRenderedPageBreak/>
        <w:t>Empleo</w:t>
      </w:r>
    </w:p>
    <w:p w14:paraId="4817F303" w14:textId="77777777" w:rsidR="00E97A0C" w:rsidRDefault="00E97A0C" w:rsidP="00E95F72">
      <w:pPr>
        <w:spacing w:after="0"/>
        <w:jc w:val="both"/>
        <w:rPr>
          <w:lang w:val="es-ES_tradnl"/>
        </w:rPr>
      </w:pPr>
    </w:p>
    <w:p w14:paraId="704A8463" w14:textId="77777777" w:rsidR="00016EC7" w:rsidRDefault="00E97A0C" w:rsidP="00E95F72">
      <w:pPr>
        <w:spacing w:after="0"/>
        <w:jc w:val="both"/>
        <w:rPr>
          <w:lang w:val="es-ES_tradnl"/>
        </w:rPr>
      </w:pPr>
      <w:r>
        <w:rPr>
          <w:lang w:val="es-ES_tradnl"/>
        </w:rPr>
        <w:t>El aporte del empleo en turismo al empleo nacional es similar al aporte del PIB, registrando de acuerdo a estimaciones de la WTTC un 3,4% como aporte directo.</w:t>
      </w:r>
      <w:r w:rsidR="00016EC7">
        <w:rPr>
          <w:lang w:val="es-ES_tradnl"/>
        </w:rPr>
        <w:t xml:space="preserve"> </w:t>
      </w:r>
    </w:p>
    <w:p w14:paraId="3F5FAB93" w14:textId="77777777" w:rsidR="00016EC7" w:rsidRDefault="00016EC7" w:rsidP="00E95F72">
      <w:pPr>
        <w:spacing w:after="0"/>
        <w:jc w:val="both"/>
        <w:rPr>
          <w:lang w:val="es-ES_tradnl"/>
        </w:rPr>
      </w:pPr>
    </w:p>
    <w:p w14:paraId="5BD9FB03" w14:textId="553DF976" w:rsidR="00E97A0C" w:rsidRPr="00372508" w:rsidRDefault="00E97A0C" w:rsidP="00E97A0C">
      <w:pPr>
        <w:spacing w:after="0"/>
        <w:jc w:val="center"/>
        <w:rPr>
          <w:b/>
          <w:lang w:val="es-ES_tradnl"/>
        </w:rPr>
      </w:pPr>
      <w:r w:rsidRPr="00372508">
        <w:rPr>
          <w:b/>
          <w:lang w:val="es-ES_tradnl"/>
        </w:rPr>
        <w:t xml:space="preserve">Aporte del </w:t>
      </w:r>
      <w:r>
        <w:rPr>
          <w:b/>
          <w:lang w:val="es-ES_tradnl"/>
        </w:rPr>
        <w:t>empleo en turismo al empleo nacional</w:t>
      </w:r>
    </w:p>
    <w:p w14:paraId="0D089E68" w14:textId="7AE13854" w:rsidR="00E97A0C" w:rsidRDefault="00E97A0C" w:rsidP="00E95F72">
      <w:pPr>
        <w:spacing w:after="0"/>
        <w:jc w:val="both"/>
        <w:rPr>
          <w:lang w:val="es-ES_tradnl"/>
        </w:rPr>
      </w:pPr>
      <w:r w:rsidRPr="00372508">
        <w:rPr>
          <w:noProof/>
          <w:lang w:eastAsia="es-CL"/>
        </w:rPr>
        <mc:AlternateContent>
          <mc:Choice Requires="wps">
            <w:drawing>
              <wp:anchor distT="0" distB="0" distL="114300" distR="114300" simplePos="0" relativeHeight="251663360" behindDoc="0" locked="0" layoutInCell="1" allowOverlap="1" wp14:anchorId="35035B86" wp14:editId="51030EE4">
                <wp:simplePos x="0" y="0"/>
                <wp:positionH relativeFrom="column">
                  <wp:posOffset>1720215</wp:posOffset>
                </wp:positionH>
                <wp:positionV relativeFrom="paragraph">
                  <wp:posOffset>900429</wp:posOffset>
                </wp:positionV>
                <wp:extent cx="561975" cy="2238375"/>
                <wp:effectExtent l="0" t="0" r="28575" b="28575"/>
                <wp:wrapNone/>
                <wp:docPr id="14" name="Rectángulo 10"/>
                <wp:cNvGraphicFramePr/>
                <a:graphic xmlns:a="http://schemas.openxmlformats.org/drawingml/2006/main">
                  <a:graphicData uri="http://schemas.microsoft.com/office/word/2010/wordprocessingShape">
                    <wps:wsp>
                      <wps:cNvSpPr/>
                      <wps:spPr>
                        <a:xfrm>
                          <a:off x="0" y="0"/>
                          <a:ext cx="561975" cy="2238375"/>
                        </a:xfrm>
                        <a:prstGeom prst="rect">
                          <a:avLst/>
                        </a:prstGeom>
                        <a:noFill/>
                        <a:ln w="12700">
                          <a:solidFill>
                            <a:srgbClr val="FF0000"/>
                          </a:solidFill>
                          <a:prstDash val="sysDash"/>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332A46D" id="Rectángulo 10" o:spid="_x0000_s1026" style="position:absolute;margin-left:135.45pt;margin-top:70.9pt;width:44.25pt;height:17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" filled="f" strokecolor="red" strokeweight="1pt">
                <v:stroke dashstyle="3 1"/>
              </v:rect>
            </w:pict>
          </mc:Fallback>
        </mc:AlternateContent>
      </w:r>
      <w:r w:rsidRPr="00E97A0C">
        <w:rPr>
          <w:noProof/>
          <w:lang w:eastAsia="es-CL"/>
        </w:rPr>
        <w:drawing>
          <wp:inline distT="0" distB="0" distL="0" distR="0" wp14:anchorId="7EA85529" wp14:editId="4E8AD8A4">
            <wp:extent cx="5613400" cy="3349625"/>
            <wp:effectExtent l="0" t="0" r="6350" b="317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E1EFAE3" w14:textId="7B25F97D" w:rsidR="00E97A0C" w:rsidRDefault="00E97A0C" w:rsidP="00E97A0C">
      <w:pPr>
        <w:spacing w:after="0"/>
        <w:jc w:val="both"/>
        <w:rPr>
          <w:sz w:val="18"/>
          <w:szCs w:val="18"/>
          <w:lang w:val="es-ES_tradnl"/>
        </w:rPr>
      </w:pPr>
      <w:r w:rsidRPr="00372508">
        <w:rPr>
          <w:sz w:val="18"/>
          <w:szCs w:val="18"/>
          <w:lang w:val="es-ES_tradnl"/>
        </w:rPr>
        <w:t>Fuente: WTTC, 2016</w:t>
      </w:r>
    </w:p>
    <w:p w14:paraId="72DE7B12" w14:textId="16E8B509" w:rsidR="00E97A0C" w:rsidRDefault="00E97A0C" w:rsidP="00E95F72">
      <w:pPr>
        <w:spacing w:after="0"/>
        <w:jc w:val="both"/>
        <w:rPr>
          <w:lang w:val="es-ES_tradnl"/>
        </w:rPr>
      </w:pPr>
    </w:p>
    <w:p w14:paraId="1974DDE5" w14:textId="020B1BAB" w:rsidR="00E97A0C" w:rsidRDefault="00E97A0C" w:rsidP="00E95F72">
      <w:pPr>
        <w:spacing w:after="0"/>
        <w:jc w:val="both"/>
        <w:rPr>
          <w:lang w:val="es-ES_tradnl"/>
        </w:rPr>
      </w:pPr>
    </w:p>
    <w:p w14:paraId="7A982C4D" w14:textId="768F0655" w:rsidR="005E246D" w:rsidRDefault="005E246D" w:rsidP="005E246D">
      <w:pPr>
        <w:spacing w:after="0"/>
        <w:jc w:val="both"/>
        <w:rPr>
          <w:lang w:val="es-ES_tradnl"/>
        </w:rPr>
      </w:pPr>
      <w:r>
        <w:rPr>
          <w:lang w:val="es-ES_tradnl"/>
        </w:rPr>
        <w:t>Los ocupados en el trimestre móvil Febrero-Abril 2016 en Hoteles y Restaurantes fue de 355.533 personas. Esto equivale a un crecimiento del 21,4% respecto al mismo período del 2015. El aumento del 21,4% en los ocupados del sector se explica tanto por un aumento en los cuenta propia de un 55,6% y un aumento de los asalariados del sector privado en un 16,0%. Sin embargo, los asalariados del sector privado tuvieron una mayor incidencia (un poco más de 3,3 puntos porcentuales) en el crecimiento total que los cuenta propia. En los últimos 6 años, los ocupados del sector han crecido un promedio anual de un 7%, siendo el último año el incremento más significativo.</w:t>
      </w:r>
    </w:p>
    <w:p w14:paraId="3AE88281" w14:textId="77777777" w:rsidR="005E246D" w:rsidRDefault="005E246D" w:rsidP="005E246D">
      <w:pPr>
        <w:spacing w:after="0"/>
        <w:jc w:val="both"/>
        <w:rPr>
          <w:lang w:val="es-ES_tradnl"/>
        </w:rPr>
      </w:pPr>
    </w:p>
    <w:p w14:paraId="04E36483" w14:textId="77777777" w:rsidR="005E246D" w:rsidRDefault="005E246D" w:rsidP="005E246D">
      <w:pPr>
        <w:spacing w:after="0"/>
        <w:jc w:val="both"/>
        <w:rPr>
          <w:lang w:val="es-ES_tradnl"/>
        </w:rPr>
      </w:pPr>
      <w:r>
        <w:rPr>
          <w:noProof/>
          <w:lang w:eastAsia="es-CL"/>
        </w:rPr>
        <w:lastRenderedPageBreak/>
        <w:drawing>
          <wp:inline distT="0" distB="0" distL="0" distR="0" wp14:anchorId="1C38EC9B" wp14:editId="0E7E9F44">
            <wp:extent cx="5314950" cy="3857625"/>
            <wp:effectExtent l="0" t="0" r="0" b="952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2939A4F" w14:textId="77777777" w:rsidR="005E246D" w:rsidRPr="00016EC7" w:rsidRDefault="005E246D" w:rsidP="005E246D">
      <w:pPr>
        <w:spacing w:after="0"/>
        <w:jc w:val="both"/>
        <w:rPr>
          <w:sz w:val="18"/>
          <w:szCs w:val="18"/>
          <w:lang w:val="es-ES_tradnl"/>
        </w:rPr>
      </w:pPr>
      <w:r w:rsidRPr="00016EC7">
        <w:rPr>
          <w:sz w:val="18"/>
          <w:szCs w:val="18"/>
          <w:lang w:val="es-ES_tradnl"/>
        </w:rPr>
        <w:t>Fuente: Elaboración propia en base a datos del INE.</w:t>
      </w:r>
    </w:p>
    <w:p w14:paraId="13937C54" w14:textId="77777777" w:rsidR="005E246D" w:rsidRDefault="005E246D" w:rsidP="005E246D">
      <w:pPr>
        <w:spacing w:after="0"/>
        <w:jc w:val="both"/>
        <w:rPr>
          <w:lang w:val="es-ES_tradnl"/>
        </w:rPr>
      </w:pPr>
    </w:p>
    <w:p w14:paraId="1C155BC3" w14:textId="77777777" w:rsidR="005E246D" w:rsidRDefault="005E246D" w:rsidP="005E246D">
      <w:pPr>
        <w:spacing w:after="0"/>
        <w:jc w:val="both"/>
        <w:rPr>
          <w:lang w:val="es-ES_tradnl"/>
        </w:rPr>
      </w:pPr>
    </w:p>
    <w:p w14:paraId="7A6E18FC" w14:textId="77777777" w:rsidR="005E246D" w:rsidRDefault="005E246D" w:rsidP="005E246D">
      <w:pPr>
        <w:spacing w:after="0"/>
        <w:jc w:val="both"/>
        <w:rPr>
          <w:lang w:val="es-ES_tradnl"/>
        </w:rPr>
      </w:pPr>
      <w:r>
        <w:rPr>
          <w:lang w:val="es-ES_tradnl"/>
        </w:rPr>
        <w:t>De los 355 mil ocupados en febrero-abril 2016, un 20% son cuenta propia, un 69% son asalariados del sector privado, un 8% empleadores y un 3% familiar o personal no remunerado.</w:t>
      </w:r>
    </w:p>
    <w:p w14:paraId="6CC170E2" w14:textId="77777777" w:rsidR="005E246D" w:rsidRDefault="005E246D" w:rsidP="005E246D">
      <w:pPr>
        <w:spacing w:after="0"/>
        <w:jc w:val="both"/>
        <w:rPr>
          <w:lang w:val="es-ES_tradnl"/>
        </w:rPr>
      </w:pPr>
    </w:p>
    <w:p w14:paraId="54147953" w14:textId="2A3E7FDC" w:rsidR="005E246D" w:rsidRDefault="005E246D" w:rsidP="005E246D">
      <w:pPr>
        <w:spacing w:after="0"/>
        <w:jc w:val="both"/>
        <w:rPr>
          <w:lang w:val="es-ES_tradnl"/>
        </w:rPr>
      </w:pPr>
      <w:r>
        <w:rPr>
          <w:lang w:val="es-ES_tradnl"/>
        </w:rPr>
        <w:t xml:space="preserve">Esta participación de ocupados por cuenta propia ha crecido en los últimos años, ya que en el 2010, la participación de los cuenta propia en el total de ocupados del sector promedió un 13%, mientras que los asalariados promediaron un 74%. Sin embargo, ambas categorías laborales han aumentado el número de ocupados, siendo de hecho los asalariados los que </w:t>
      </w:r>
      <w:r w:rsidR="003C02E2">
        <w:rPr>
          <w:lang w:val="es-ES_tradnl"/>
        </w:rPr>
        <w:t>han tenido mayor incidencia.</w:t>
      </w:r>
    </w:p>
    <w:p w14:paraId="307F3C4C" w14:textId="77777777" w:rsidR="005E246D" w:rsidRDefault="005E246D" w:rsidP="005E246D">
      <w:pPr>
        <w:spacing w:after="0"/>
        <w:jc w:val="both"/>
        <w:rPr>
          <w:lang w:val="es-ES_tradnl"/>
        </w:rPr>
      </w:pPr>
    </w:p>
    <w:p w14:paraId="337156E2" w14:textId="250C2FC3" w:rsidR="00E97A0C" w:rsidRDefault="005E246D" w:rsidP="00E95F72">
      <w:pPr>
        <w:spacing w:after="0"/>
        <w:jc w:val="both"/>
        <w:rPr>
          <w:lang w:val="es-ES_tradnl"/>
        </w:rPr>
      </w:pPr>
      <w:r>
        <w:rPr>
          <w:noProof/>
          <w:lang w:eastAsia="es-CL"/>
        </w:rPr>
        <w:lastRenderedPageBreak/>
        <w:drawing>
          <wp:inline distT="0" distB="0" distL="0" distR="0" wp14:anchorId="5F911950" wp14:editId="5CF93444">
            <wp:extent cx="5705475" cy="3838575"/>
            <wp:effectExtent l="0" t="0" r="9525" b="9525"/>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A583C1" w14:textId="77777777" w:rsidR="005138CE" w:rsidRPr="00016EC7" w:rsidRDefault="005138CE" w:rsidP="005138CE">
      <w:pPr>
        <w:spacing w:after="0"/>
        <w:jc w:val="both"/>
        <w:rPr>
          <w:sz w:val="18"/>
          <w:szCs w:val="18"/>
          <w:lang w:val="es-ES_tradnl"/>
        </w:rPr>
      </w:pPr>
      <w:r w:rsidRPr="00016EC7">
        <w:rPr>
          <w:sz w:val="18"/>
          <w:szCs w:val="18"/>
          <w:lang w:val="es-ES_tradnl"/>
        </w:rPr>
        <w:t>Fuente: Elaboración propia en base a datos del INE.</w:t>
      </w:r>
    </w:p>
    <w:p w14:paraId="22066035" w14:textId="77777777" w:rsidR="005138CE" w:rsidRDefault="005138CE" w:rsidP="00E95F72">
      <w:pPr>
        <w:spacing w:after="0"/>
        <w:jc w:val="both"/>
        <w:rPr>
          <w:lang w:val="es-ES_tradnl"/>
        </w:rPr>
      </w:pPr>
    </w:p>
    <w:p w14:paraId="4AFAC04A" w14:textId="77777777" w:rsidR="004F3E96" w:rsidRDefault="004F3E96" w:rsidP="00E95F72">
      <w:pPr>
        <w:spacing w:after="0"/>
        <w:jc w:val="both"/>
        <w:rPr>
          <w:lang w:val="es-ES_tradnl"/>
        </w:rPr>
      </w:pPr>
    </w:p>
    <w:p w14:paraId="12789B62" w14:textId="69490361" w:rsidR="00165961" w:rsidRDefault="00165961">
      <w:pPr>
        <w:spacing w:after="0" w:line="240" w:lineRule="auto"/>
        <w:rPr>
          <w:b/>
          <w:lang w:val="es-ES_tradnl"/>
        </w:rPr>
      </w:pPr>
    </w:p>
    <w:sectPr w:rsidR="00165961" w:rsidSect="00F6134D">
      <w:headerReference w:type="default" r:id="rId15"/>
      <w:footerReference w:type="default" r:id="rId16"/>
      <w:pgSz w:w="12242" w:h="15842" w:code="1"/>
      <w:pgMar w:top="539" w:right="1701" w:bottom="1440" w:left="1701" w:header="0" w:footer="4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5737D" w14:textId="77777777" w:rsidR="006962FB" w:rsidRDefault="006962FB">
      <w:pPr>
        <w:spacing w:after="0" w:line="240" w:lineRule="auto"/>
      </w:pPr>
      <w:r>
        <w:separator/>
      </w:r>
    </w:p>
  </w:endnote>
  <w:endnote w:type="continuationSeparator" w:id="0">
    <w:p w14:paraId="172EFB43" w14:textId="77777777" w:rsidR="006962FB" w:rsidRDefault="0069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Alaska">
    <w:altName w:val="Verdana"/>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458074"/>
      <w:docPartObj>
        <w:docPartGallery w:val="Page Numbers (Bottom of Page)"/>
        <w:docPartUnique/>
      </w:docPartObj>
    </w:sdtPr>
    <w:sdtEndPr/>
    <w:sdtContent>
      <w:p w14:paraId="4664C9E7" w14:textId="77777777" w:rsidR="003A46B9" w:rsidRDefault="003A46B9">
        <w:pPr>
          <w:pStyle w:val="Piedepgina"/>
          <w:jc w:val="right"/>
        </w:pPr>
        <w:r>
          <w:fldChar w:fldCharType="begin"/>
        </w:r>
        <w:r>
          <w:instrText>PAGE   \* MERGEFORMAT</w:instrText>
        </w:r>
        <w:r>
          <w:fldChar w:fldCharType="separate"/>
        </w:r>
        <w:r w:rsidR="00AA31C6">
          <w:rPr>
            <w:noProof/>
          </w:rPr>
          <w:t>7</w:t>
        </w:r>
        <w:r>
          <w:fldChar w:fldCharType="end"/>
        </w:r>
      </w:p>
    </w:sdtContent>
  </w:sdt>
  <w:p w14:paraId="23A272F2" w14:textId="77777777" w:rsidR="00EA0A36" w:rsidRDefault="003A46B9" w:rsidP="003A46B9">
    <w:pPr>
      <w:pStyle w:val="Piedepgina"/>
      <w:jc w:val="center"/>
      <w:rPr>
        <w:rFonts w:ascii="Alaska" w:hAnsi="Alaska"/>
        <w:sz w:val="12"/>
      </w:rPr>
    </w:pPr>
    <w:r>
      <w:rPr>
        <w:rFonts w:ascii="Alaska" w:hAnsi="Alaska"/>
        <w:sz w:val="12"/>
      </w:rPr>
      <w:t>DIVISIÓN DE ESTUDIOS</w:t>
    </w:r>
    <w:r w:rsidR="00EA0A36">
      <w:rPr>
        <w:rFonts w:ascii="Alaska" w:hAnsi="Alaska"/>
        <w:sz w:val="12"/>
      </w:rPr>
      <w:t xml:space="preserve"> - SUBSECRETARÍA DE TURISMO </w:t>
    </w:r>
  </w:p>
  <w:p w14:paraId="2A206117" w14:textId="77777777" w:rsidR="003A46B9" w:rsidRPr="00285C93" w:rsidRDefault="003A46B9" w:rsidP="003A46B9">
    <w:pPr>
      <w:pStyle w:val="Piedepgina"/>
      <w:jc w:val="center"/>
      <w:rPr>
        <w:rFonts w:ascii="Alaska" w:hAnsi="Alaska"/>
        <w:sz w:val="12"/>
      </w:rPr>
    </w:pPr>
    <w:r w:rsidRPr="00285C93">
      <w:rPr>
        <w:rFonts w:ascii="Alaska" w:hAnsi="Alaska"/>
        <w:sz w:val="12"/>
      </w:rPr>
      <w:t>AVDA. LIBERTADOR  BERNARDO O’HIGGINS 1449, TORRE II, PISO 1</w:t>
    </w:r>
    <w:r>
      <w:rPr>
        <w:rFonts w:ascii="Alaska" w:hAnsi="Alaska"/>
        <w:sz w:val="12"/>
      </w:rPr>
      <w:t>0</w:t>
    </w:r>
  </w:p>
  <w:p w14:paraId="37398B85" w14:textId="77777777" w:rsidR="00F6134D" w:rsidRPr="00DC6620" w:rsidRDefault="00EA0A36" w:rsidP="003A46B9">
    <w:pPr>
      <w:pStyle w:val="Piedepgina"/>
      <w:jc w:val="center"/>
      <w:rPr>
        <w:rFonts w:ascii="Alaska" w:hAnsi="Alaska"/>
        <w:sz w:val="12"/>
        <w:lang w:val="en-US"/>
      </w:rPr>
    </w:pPr>
    <w:r>
      <w:rPr>
        <w:rFonts w:ascii="Alaska" w:hAnsi="Alaska"/>
        <w:sz w:val="12"/>
        <w:lang w:val="en-US"/>
      </w:rPr>
      <w:t xml:space="preserve">F: +56 2 2473 3629 </w:t>
    </w:r>
    <w:hyperlink r:id="rId1" w:history="1">
      <w:r w:rsidR="003A46B9" w:rsidRPr="005018A6">
        <w:rPr>
          <w:rStyle w:val="Hipervnculo"/>
          <w:rFonts w:ascii="Alaska" w:hAnsi="Alaska"/>
          <w:sz w:val="12"/>
          <w:lang w:val="en-US"/>
        </w:rPr>
        <w:t>www.subturismo.gob.cl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ED63C" w14:textId="77777777" w:rsidR="006962FB" w:rsidRDefault="006962FB">
      <w:pPr>
        <w:spacing w:after="0" w:line="240" w:lineRule="auto"/>
      </w:pPr>
      <w:r>
        <w:separator/>
      </w:r>
    </w:p>
  </w:footnote>
  <w:footnote w:type="continuationSeparator" w:id="0">
    <w:p w14:paraId="1AC04F2B" w14:textId="77777777" w:rsidR="006962FB" w:rsidRDefault="006962FB">
      <w:pPr>
        <w:spacing w:after="0" w:line="240" w:lineRule="auto"/>
      </w:pPr>
      <w:r>
        <w:continuationSeparator/>
      </w:r>
    </w:p>
  </w:footnote>
  <w:footnote w:id="1">
    <w:p w14:paraId="69182A48" w14:textId="77777777" w:rsidR="00865056" w:rsidRPr="00047985" w:rsidRDefault="00865056" w:rsidP="00865056">
      <w:pPr>
        <w:pStyle w:val="Textonotapie"/>
        <w:jc w:val="both"/>
        <w:rPr>
          <w:sz w:val="18"/>
          <w:szCs w:val="18"/>
        </w:rPr>
      </w:pPr>
      <w:r w:rsidRPr="00047985">
        <w:rPr>
          <w:rStyle w:val="Refdenotaalpie"/>
          <w:sz w:val="18"/>
          <w:szCs w:val="18"/>
        </w:rPr>
        <w:footnoteRef/>
      </w:r>
      <w:r w:rsidRPr="00047985">
        <w:rPr>
          <w:sz w:val="18"/>
          <w:szCs w:val="18"/>
        </w:rPr>
        <w:t xml:space="preserve"> Las cifras del ingreso de divisas y los porcentajes se encuentran expresadas en dólares de cada año.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25E7E" w14:textId="77777777" w:rsidR="00F6134D" w:rsidRDefault="007D4F6D">
    <w:pPr>
      <w:pStyle w:val="Encabezado"/>
      <w:tabs>
        <w:tab w:val="clear" w:pos="4252"/>
        <w:tab w:val="clear" w:pos="8504"/>
        <w:tab w:val="left" w:pos="7088"/>
      </w:tabs>
      <w:rPr>
        <w:lang w:val="es-CL"/>
      </w:rPr>
    </w:pPr>
    <w:r>
      <w:rPr>
        <w:noProof/>
        <w:lang w:val="es-CL"/>
      </w:rPr>
      <w:drawing>
        <wp:anchor distT="0" distB="0" distL="114300" distR="114300" simplePos="0" relativeHeight="251658240" behindDoc="1" locked="0" layoutInCell="1" allowOverlap="1" wp14:anchorId="2FEFAFDD" wp14:editId="193A82F6">
          <wp:simplePos x="0" y="0"/>
          <wp:positionH relativeFrom="column">
            <wp:posOffset>-175260</wp:posOffset>
          </wp:positionH>
          <wp:positionV relativeFrom="paragraph">
            <wp:posOffset>180975</wp:posOffset>
          </wp:positionV>
          <wp:extent cx="1104900" cy="1022032"/>
          <wp:effectExtent l="0" t="0" r="0" b="6985"/>
          <wp:wrapNone/>
          <wp:docPr id="4" name="Imagen 3" descr="v3_Subsecretaria de Turismo_CMY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3_Subsecretaria de Turismo_CMY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662" cy="10310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FE4D5" w14:textId="77777777" w:rsidR="00F6134D" w:rsidRDefault="007D4F6D">
    <w:pPr>
      <w:pStyle w:val="Encabezado"/>
      <w:rPr>
        <w:lang w:val="es-CL"/>
      </w:rPr>
    </w:pPr>
    <w:r>
      <w:rPr>
        <w:noProof/>
        <w:lang w:val="es-CL"/>
      </w:rPr>
      <mc:AlternateContent>
        <mc:Choice Requires="wps">
          <w:drawing>
            <wp:anchor distT="0" distB="0" distL="114300" distR="114300" simplePos="0" relativeHeight="251657216" behindDoc="0" locked="0" layoutInCell="1" allowOverlap="1" wp14:anchorId="74BECA64" wp14:editId="566752EA">
              <wp:simplePos x="0" y="0"/>
              <wp:positionH relativeFrom="column">
                <wp:posOffset>3200400</wp:posOffset>
              </wp:positionH>
              <wp:positionV relativeFrom="paragraph">
                <wp:posOffset>85090</wp:posOffset>
              </wp:positionV>
              <wp:extent cx="2190115" cy="414655"/>
              <wp:effectExtent l="3810" t="2540" r="0" b="1905"/>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4CD1F" w14:textId="77777777" w:rsidR="00F6134D" w:rsidRDefault="00F6134D"/>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BECA64" id="_x0000_t202" coordsize="21600,21600" o:spt="202" path="m,l,21600r21600,l21600,xe">
              <v:stroke joinstyle="miter"/>
              <v:path gradientshapeok="t" o:connecttype="rect"/>
            </v:shapetype>
            <v:shape id="Text Box 1" o:spid="_x0000_s1026" type="#_x0000_t202" style="position:absolute;margin-left:252pt;margin-top:6.7pt;width:172.45pt;height:3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V3sg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" filled="f" stroked="f">
              <v:textbox style="mso-fit-shape-to-text:t">
                <w:txbxContent>
                  <w:p w14:paraId="54E4CD1F" w14:textId="77777777" w:rsidR="00F6134D" w:rsidRDefault="00F6134D"/>
                </w:txbxContent>
              </v:textbox>
              <w10:wrap type="square"/>
            </v:shape>
          </w:pict>
        </mc:Fallback>
      </mc:AlternateContent>
    </w:r>
  </w:p>
  <w:p w14:paraId="3A7AB026" w14:textId="77777777" w:rsidR="003976BC" w:rsidRDefault="003976BC" w:rsidP="00F6134D">
    <w:pPr>
      <w:pStyle w:val="Encabezado"/>
      <w:tabs>
        <w:tab w:val="left" w:pos="7655"/>
      </w:tabs>
      <w:ind w:left="-426" w:right="-232"/>
      <w:jc w:val="center"/>
      <w:rPr>
        <w:rFonts w:ascii="Times" w:hAnsi="Times"/>
        <w:i/>
        <w:color w:val="808080"/>
        <w:sz w:val="22"/>
        <w:szCs w:val="22"/>
      </w:rPr>
    </w:pPr>
  </w:p>
  <w:p w14:paraId="0FC46385" w14:textId="77777777" w:rsidR="003976BC" w:rsidRDefault="008356B2" w:rsidP="008356B2">
    <w:pPr>
      <w:pStyle w:val="Encabezado"/>
      <w:tabs>
        <w:tab w:val="left" w:pos="480"/>
        <w:tab w:val="left" w:pos="7655"/>
      </w:tabs>
      <w:ind w:left="-426" w:right="-232"/>
      <w:rPr>
        <w:rFonts w:ascii="Times" w:hAnsi="Times"/>
        <w:i/>
        <w:color w:val="808080"/>
        <w:sz w:val="22"/>
        <w:szCs w:val="22"/>
      </w:rPr>
    </w:pPr>
    <w:r>
      <w:rPr>
        <w:rFonts w:ascii="Times" w:hAnsi="Times"/>
        <w:i/>
        <w:color w:val="808080"/>
        <w:sz w:val="22"/>
        <w:szCs w:val="22"/>
      </w:rPr>
      <w:tab/>
    </w:r>
  </w:p>
  <w:p w14:paraId="7C2AA441" w14:textId="77777777" w:rsidR="003976BC" w:rsidRDefault="003976BC" w:rsidP="00F6134D">
    <w:pPr>
      <w:pStyle w:val="Encabezado"/>
      <w:tabs>
        <w:tab w:val="left" w:pos="7655"/>
      </w:tabs>
      <w:ind w:left="-426" w:right="-232"/>
      <w:jc w:val="center"/>
      <w:rPr>
        <w:rFonts w:ascii="Times" w:hAnsi="Times"/>
        <w:i/>
        <w:color w:val="808080"/>
        <w:sz w:val="22"/>
        <w:szCs w:val="22"/>
      </w:rPr>
    </w:pPr>
  </w:p>
  <w:p w14:paraId="0AEC41A2" w14:textId="77777777" w:rsidR="003976BC" w:rsidRDefault="003976BC" w:rsidP="00F6134D">
    <w:pPr>
      <w:pStyle w:val="Encabezado"/>
      <w:tabs>
        <w:tab w:val="left" w:pos="7655"/>
      </w:tabs>
      <w:ind w:left="-426" w:right="-232"/>
      <w:jc w:val="center"/>
      <w:rPr>
        <w:rFonts w:ascii="Times" w:hAnsi="Times"/>
        <w:i/>
        <w:color w:val="808080"/>
        <w:sz w:val="22"/>
        <w:szCs w:val="22"/>
      </w:rPr>
    </w:pPr>
  </w:p>
  <w:p w14:paraId="249EAC9C" w14:textId="77777777" w:rsidR="00DC6620" w:rsidRDefault="00DC6620" w:rsidP="00DC6620">
    <w:pPr>
      <w:pStyle w:val="Encabezado"/>
      <w:tabs>
        <w:tab w:val="left" w:pos="7655"/>
      </w:tabs>
      <w:ind w:left="-426" w:right="-232"/>
      <w:jc w:val="center"/>
      <w:rPr>
        <w:rFonts w:ascii="Times" w:hAnsi="Times"/>
        <w:i/>
        <w:color w:val="808080"/>
        <w:sz w:val="22"/>
        <w:szCs w:val="22"/>
      </w:rPr>
    </w:pPr>
  </w:p>
  <w:p w14:paraId="76509E75" w14:textId="77777777" w:rsidR="003976BC" w:rsidRDefault="003976BC" w:rsidP="00F6134D">
    <w:pPr>
      <w:pStyle w:val="Encabezado"/>
      <w:tabs>
        <w:tab w:val="left" w:pos="7655"/>
      </w:tabs>
      <w:ind w:left="-426" w:right="-232"/>
      <w:jc w:val="center"/>
      <w:rPr>
        <w:rFonts w:ascii="Times" w:hAnsi="Times"/>
        <w:i/>
        <w:color w:val="80808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5B7"/>
    <w:multiLevelType w:val="hybridMultilevel"/>
    <w:tmpl w:val="B71E7B1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6BA1BC5"/>
    <w:multiLevelType w:val="hybridMultilevel"/>
    <w:tmpl w:val="6158FA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A06184C"/>
    <w:multiLevelType w:val="hybridMultilevel"/>
    <w:tmpl w:val="FE8CEF0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07856F1"/>
    <w:multiLevelType w:val="hybridMultilevel"/>
    <w:tmpl w:val="643E06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1FB632C"/>
    <w:multiLevelType w:val="hybridMultilevel"/>
    <w:tmpl w:val="B2480386"/>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95C6966"/>
    <w:multiLevelType w:val="hybridMultilevel"/>
    <w:tmpl w:val="684EF0E6"/>
    <w:lvl w:ilvl="0" w:tplc="340A0001">
      <w:start w:val="1"/>
      <w:numFmt w:val="bullet"/>
      <w:lvlText w:val=""/>
      <w:lvlJc w:val="left"/>
      <w:pPr>
        <w:ind w:left="1395" w:hanging="360"/>
      </w:pPr>
      <w:rPr>
        <w:rFonts w:ascii="Symbol" w:hAnsi="Symbol" w:hint="default"/>
      </w:rPr>
    </w:lvl>
    <w:lvl w:ilvl="1" w:tplc="340A0003" w:tentative="1">
      <w:start w:val="1"/>
      <w:numFmt w:val="bullet"/>
      <w:lvlText w:val="o"/>
      <w:lvlJc w:val="left"/>
      <w:pPr>
        <w:ind w:left="2115" w:hanging="360"/>
      </w:pPr>
      <w:rPr>
        <w:rFonts w:ascii="Courier New" w:hAnsi="Courier New" w:cs="Courier New" w:hint="default"/>
      </w:rPr>
    </w:lvl>
    <w:lvl w:ilvl="2" w:tplc="340A0005" w:tentative="1">
      <w:start w:val="1"/>
      <w:numFmt w:val="bullet"/>
      <w:lvlText w:val=""/>
      <w:lvlJc w:val="left"/>
      <w:pPr>
        <w:ind w:left="2835" w:hanging="360"/>
      </w:pPr>
      <w:rPr>
        <w:rFonts w:ascii="Wingdings" w:hAnsi="Wingdings" w:hint="default"/>
      </w:rPr>
    </w:lvl>
    <w:lvl w:ilvl="3" w:tplc="340A0001" w:tentative="1">
      <w:start w:val="1"/>
      <w:numFmt w:val="bullet"/>
      <w:lvlText w:val=""/>
      <w:lvlJc w:val="left"/>
      <w:pPr>
        <w:ind w:left="3555" w:hanging="360"/>
      </w:pPr>
      <w:rPr>
        <w:rFonts w:ascii="Symbol" w:hAnsi="Symbol" w:hint="default"/>
      </w:rPr>
    </w:lvl>
    <w:lvl w:ilvl="4" w:tplc="340A0003" w:tentative="1">
      <w:start w:val="1"/>
      <w:numFmt w:val="bullet"/>
      <w:lvlText w:val="o"/>
      <w:lvlJc w:val="left"/>
      <w:pPr>
        <w:ind w:left="4275" w:hanging="360"/>
      </w:pPr>
      <w:rPr>
        <w:rFonts w:ascii="Courier New" w:hAnsi="Courier New" w:cs="Courier New" w:hint="default"/>
      </w:rPr>
    </w:lvl>
    <w:lvl w:ilvl="5" w:tplc="340A0005" w:tentative="1">
      <w:start w:val="1"/>
      <w:numFmt w:val="bullet"/>
      <w:lvlText w:val=""/>
      <w:lvlJc w:val="left"/>
      <w:pPr>
        <w:ind w:left="4995" w:hanging="360"/>
      </w:pPr>
      <w:rPr>
        <w:rFonts w:ascii="Wingdings" w:hAnsi="Wingdings" w:hint="default"/>
      </w:rPr>
    </w:lvl>
    <w:lvl w:ilvl="6" w:tplc="340A0001" w:tentative="1">
      <w:start w:val="1"/>
      <w:numFmt w:val="bullet"/>
      <w:lvlText w:val=""/>
      <w:lvlJc w:val="left"/>
      <w:pPr>
        <w:ind w:left="5715" w:hanging="360"/>
      </w:pPr>
      <w:rPr>
        <w:rFonts w:ascii="Symbol" w:hAnsi="Symbol" w:hint="default"/>
      </w:rPr>
    </w:lvl>
    <w:lvl w:ilvl="7" w:tplc="340A0003" w:tentative="1">
      <w:start w:val="1"/>
      <w:numFmt w:val="bullet"/>
      <w:lvlText w:val="o"/>
      <w:lvlJc w:val="left"/>
      <w:pPr>
        <w:ind w:left="6435" w:hanging="360"/>
      </w:pPr>
      <w:rPr>
        <w:rFonts w:ascii="Courier New" w:hAnsi="Courier New" w:cs="Courier New" w:hint="default"/>
      </w:rPr>
    </w:lvl>
    <w:lvl w:ilvl="8" w:tplc="340A0005" w:tentative="1">
      <w:start w:val="1"/>
      <w:numFmt w:val="bullet"/>
      <w:lvlText w:val=""/>
      <w:lvlJc w:val="left"/>
      <w:pPr>
        <w:ind w:left="7155" w:hanging="360"/>
      </w:pPr>
      <w:rPr>
        <w:rFonts w:ascii="Wingdings" w:hAnsi="Wingdings" w:hint="default"/>
      </w:rPr>
    </w:lvl>
  </w:abstractNum>
  <w:abstractNum w:abstractNumId="6" w15:restartNumberingAfterBreak="0">
    <w:nsid w:val="2B4F39A5"/>
    <w:multiLevelType w:val="hybridMultilevel"/>
    <w:tmpl w:val="44CA8190"/>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D610D56"/>
    <w:multiLevelType w:val="hybridMultilevel"/>
    <w:tmpl w:val="9D3A67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07821E5"/>
    <w:multiLevelType w:val="hybridMultilevel"/>
    <w:tmpl w:val="FE3CE0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9553AED"/>
    <w:multiLevelType w:val="hybridMultilevel"/>
    <w:tmpl w:val="B352CFA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A2A2A39"/>
    <w:multiLevelType w:val="hybridMultilevel"/>
    <w:tmpl w:val="D3A4E1D8"/>
    <w:lvl w:ilvl="0" w:tplc="F06AB89C">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FEE452B"/>
    <w:multiLevelType w:val="hybridMultilevel"/>
    <w:tmpl w:val="51AEDAC6"/>
    <w:lvl w:ilvl="0" w:tplc="606A3BBE">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0C26EBE"/>
    <w:multiLevelType w:val="hybridMultilevel"/>
    <w:tmpl w:val="FE8CEF0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55C6DDA"/>
    <w:multiLevelType w:val="hybridMultilevel"/>
    <w:tmpl w:val="3970D638"/>
    <w:lvl w:ilvl="0" w:tplc="C3A88BE4">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A8326A8"/>
    <w:multiLevelType w:val="hybridMultilevel"/>
    <w:tmpl w:val="87426B54"/>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B1218CB"/>
    <w:multiLevelType w:val="hybridMultilevel"/>
    <w:tmpl w:val="B1602B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BC73412"/>
    <w:multiLevelType w:val="hybridMultilevel"/>
    <w:tmpl w:val="CB667EEA"/>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05C0106"/>
    <w:multiLevelType w:val="hybridMultilevel"/>
    <w:tmpl w:val="5282C4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8EC62B4"/>
    <w:multiLevelType w:val="hybridMultilevel"/>
    <w:tmpl w:val="A906CABE"/>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6D9E17EC"/>
    <w:multiLevelType w:val="hybridMultilevel"/>
    <w:tmpl w:val="D2408A1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31B1614"/>
    <w:multiLevelType w:val="hybridMultilevel"/>
    <w:tmpl w:val="CB5891E0"/>
    <w:lvl w:ilvl="0" w:tplc="98DEFE00">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1" w15:restartNumberingAfterBreak="0">
    <w:nsid w:val="73C21DEF"/>
    <w:multiLevelType w:val="hybridMultilevel"/>
    <w:tmpl w:val="C8F4BCE2"/>
    <w:lvl w:ilvl="0" w:tplc="DD9C5E58">
      <w:start w:val="2"/>
      <w:numFmt w:val="bullet"/>
      <w:lvlText w:val="-"/>
      <w:lvlJc w:val="left"/>
      <w:pPr>
        <w:ind w:left="720" w:hanging="360"/>
      </w:pPr>
      <w:rPr>
        <w:rFonts w:ascii="Tahoma" w:eastAsia="Calibr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745C4E21"/>
    <w:multiLevelType w:val="hybridMultilevel"/>
    <w:tmpl w:val="CAAE342E"/>
    <w:lvl w:ilvl="0" w:tplc="BD0C2604">
      <w:numFmt w:val="bullet"/>
      <w:lvlText w:val="-"/>
      <w:lvlJc w:val="left"/>
      <w:pPr>
        <w:ind w:left="720" w:hanging="360"/>
      </w:pPr>
      <w:rPr>
        <w:rFonts w:ascii="Verdana" w:eastAsia="Calibri" w:hAnsi="Verdana" w:cs="Times New Roman" w:hint="default"/>
        <w:sz w:val="1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D16064D"/>
    <w:multiLevelType w:val="hybridMultilevel"/>
    <w:tmpl w:val="52C0123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E6259BE"/>
    <w:multiLevelType w:val="hybridMultilevel"/>
    <w:tmpl w:val="1E7C0182"/>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F023718"/>
    <w:multiLevelType w:val="hybridMultilevel"/>
    <w:tmpl w:val="41585A2A"/>
    <w:lvl w:ilvl="0" w:tplc="B2C4817E">
      <w:start w:val="25"/>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3"/>
  </w:num>
  <w:num w:numId="4">
    <w:abstractNumId w:val="9"/>
  </w:num>
  <w:num w:numId="5">
    <w:abstractNumId w:val="20"/>
  </w:num>
  <w:num w:numId="6">
    <w:abstractNumId w:val="4"/>
  </w:num>
  <w:num w:numId="7">
    <w:abstractNumId w:val="18"/>
  </w:num>
  <w:num w:numId="8">
    <w:abstractNumId w:val="6"/>
  </w:num>
  <w:num w:numId="9">
    <w:abstractNumId w:val="24"/>
  </w:num>
  <w:num w:numId="10">
    <w:abstractNumId w:val="14"/>
  </w:num>
  <w:num w:numId="11">
    <w:abstractNumId w:val="16"/>
  </w:num>
  <w:num w:numId="12">
    <w:abstractNumId w:val="0"/>
  </w:num>
  <w:num w:numId="13">
    <w:abstractNumId w:val="7"/>
  </w:num>
  <w:num w:numId="14">
    <w:abstractNumId w:val="8"/>
  </w:num>
  <w:num w:numId="15">
    <w:abstractNumId w:val="1"/>
  </w:num>
  <w:num w:numId="16">
    <w:abstractNumId w:val="23"/>
  </w:num>
  <w:num w:numId="17">
    <w:abstractNumId w:val="5"/>
  </w:num>
  <w:num w:numId="18">
    <w:abstractNumId w:val="19"/>
  </w:num>
  <w:num w:numId="19">
    <w:abstractNumId w:val="10"/>
  </w:num>
  <w:num w:numId="20">
    <w:abstractNumId w:val="13"/>
  </w:num>
  <w:num w:numId="21">
    <w:abstractNumId w:val="25"/>
  </w:num>
  <w:num w:numId="22">
    <w:abstractNumId w:val="17"/>
  </w:num>
  <w:num w:numId="23">
    <w:abstractNumId w:val="11"/>
  </w:num>
  <w:num w:numId="24">
    <w:abstractNumId w:val="15"/>
  </w:num>
  <w:num w:numId="25">
    <w:abstractNumId w:val="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34D"/>
    <w:rsid w:val="00006632"/>
    <w:rsid w:val="00016EC7"/>
    <w:rsid w:val="0002312C"/>
    <w:rsid w:val="00085A76"/>
    <w:rsid w:val="000A65CD"/>
    <w:rsid w:val="000B15EA"/>
    <w:rsid w:val="000B259A"/>
    <w:rsid w:val="000B4DE0"/>
    <w:rsid w:val="000B675B"/>
    <w:rsid w:val="000F1E56"/>
    <w:rsid w:val="000F45AC"/>
    <w:rsid w:val="00165961"/>
    <w:rsid w:val="001B79C1"/>
    <w:rsid w:val="001C2050"/>
    <w:rsid w:val="001D62C5"/>
    <w:rsid w:val="001E7198"/>
    <w:rsid w:val="001F6247"/>
    <w:rsid w:val="00230C3A"/>
    <w:rsid w:val="00232CBF"/>
    <w:rsid w:val="002331FE"/>
    <w:rsid w:val="00256C1D"/>
    <w:rsid w:val="0026227B"/>
    <w:rsid w:val="00262C7F"/>
    <w:rsid w:val="00270F2E"/>
    <w:rsid w:val="00271183"/>
    <w:rsid w:val="0029472F"/>
    <w:rsid w:val="002A59EA"/>
    <w:rsid w:val="002F5094"/>
    <w:rsid w:val="003163FC"/>
    <w:rsid w:val="00341545"/>
    <w:rsid w:val="00360486"/>
    <w:rsid w:val="00372508"/>
    <w:rsid w:val="003976BC"/>
    <w:rsid w:val="003A46B9"/>
    <w:rsid w:val="003C02E2"/>
    <w:rsid w:val="003E4C5C"/>
    <w:rsid w:val="003F3F9A"/>
    <w:rsid w:val="00414EA4"/>
    <w:rsid w:val="004162E7"/>
    <w:rsid w:val="004270CC"/>
    <w:rsid w:val="004376D2"/>
    <w:rsid w:val="00440252"/>
    <w:rsid w:val="004469B7"/>
    <w:rsid w:val="00456664"/>
    <w:rsid w:val="004566C0"/>
    <w:rsid w:val="00457B2F"/>
    <w:rsid w:val="00460FFD"/>
    <w:rsid w:val="00461CC6"/>
    <w:rsid w:val="00470D55"/>
    <w:rsid w:val="00477A4C"/>
    <w:rsid w:val="004C7820"/>
    <w:rsid w:val="004F2A11"/>
    <w:rsid w:val="004F3E96"/>
    <w:rsid w:val="005138CE"/>
    <w:rsid w:val="0051590F"/>
    <w:rsid w:val="005552BC"/>
    <w:rsid w:val="00597A0E"/>
    <w:rsid w:val="005A3C40"/>
    <w:rsid w:val="005E1B0D"/>
    <w:rsid w:val="005E246D"/>
    <w:rsid w:val="005F4F44"/>
    <w:rsid w:val="00604341"/>
    <w:rsid w:val="00642DE0"/>
    <w:rsid w:val="00651C6C"/>
    <w:rsid w:val="00683AD2"/>
    <w:rsid w:val="00685C1F"/>
    <w:rsid w:val="006962FB"/>
    <w:rsid w:val="006A3B85"/>
    <w:rsid w:val="006B2F79"/>
    <w:rsid w:val="006C3800"/>
    <w:rsid w:val="006D326D"/>
    <w:rsid w:val="006D54F1"/>
    <w:rsid w:val="006D62EF"/>
    <w:rsid w:val="006E5F67"/>
    <w:rsid w:val="00700631"/>
    <w:rsid w:val="00707374"/>
    <w:rsid w:val="00707756"/>
    <w:rsid w:val="0073248B"/>
    <w:rsid w:val="00744685"/>
    <w:rsid w:val="007866AC"/>
    <w:rsid w:val="007D4F6D"/>
    <w:rsid w:val="007D6606"/>
    <w:rsid w:val="007F1F4D"/>
    <w:rsid w:val="00821C0D"/>
    <w:rsid w:val="008356B2"/>
    <w:rsid w:val="00865056"/>
    <w:rsid w:val="00871272"/>
    <w:rsid w:val="008905F2"/>
    <w:rsid w:val="008979E1"/>
    <w:rsid w:val="008C5A99"/>
    <w:rsid w:val="00925CBA"/>
    <w:rsid w:val="00950B72"/>
    <w:rsid w:val="0097196E"/>
    <w:rsid w:val="00974E60"/>
    <w:rsid w:val="0098733E"/>
    <w:rsid w:val="009A324B"/>
    <w:rsid w:val="009A7CC9"/>
    <w:rsid w:val="009C03CE"/>
    <w:rsid w:val="009E5C95"/>
    <w:rsid w:val="009F5130"/>
    <w:rsid w:val="00A212B0"/>
    <w:rsid w:val="00A24139"/>
    <w:rsid w:val="00A40C0B"/>
    <w:rsid w:val="00A63E28"/>
    <w:rsid w:val="00A92C7A"/>
    <w:rsid w:val="00AA31C6"/>
    <w:rsid w:val="00AA3E58"/>
    <w:rsid w:val="00B36CFD"/>
    <w:rsid w:val="00B474E9"/>
    <w:rsid w:val="00B517B6"/>
    <w:rsid w:val="00B74E6E"/>
    <w:rsid w:val="00B87FE3"/>
    <w:rsid w:val="00B961FB"/>
    <w:rsid w:val="00BA71F5"/>
    <w:rsid w:val="00BE19BD"/>
    <w:rsid w:val="00BF134F"/>
    <w:rsid w:val="00C33635"/>
    <w:rsid w:val="00C44237"/>
    <w:rsid w:val="00C508AC"/>
    <w:rsid w:val="00CB6557"/>
    <w:rsid w:val="00CD7953"/>
    <w:rsid w:val="00CE1D10"/>
    <w:rsid w:val="00CF500C"/>
    <w:rsid w:val="00CF5AD8"/>
    <w:rsid w:val="00D17168"/>
    <w:rsid w:val="00D270CE"/>
    <w:rsid w:val="00D441C3"/>
    <w:rsid w:val="00D46F3A"/>
    <w:rsid w:val="00D75E9B"/>
    <w:rsid w:val="00D80876"/>
    <w:rsid w:val="00DC6620"/>
    <w:rsid w:val="00DC7AD8"/>
    <w:rsid w:val="00DD1D1A"/>
    <w:rsid w:val="00DE45C0"/>
    <w:rsid w:val="00DE6B35"/>
    <w:rsid w:val="00E00D47"/>
    <w:rsid w:val="00E200F4"/>
    <w:rsid w:val="00E327A9"/>
    <w:rsid w:val="00E41019"/>
    <w:rsid w:val="00E53B3E"/>
    <w:rsid w:val="00E5612F"/>
    <w:rsid w:val="00E73BAD"/>
    <w:rsid w:val="00E95F72"/>
    <w:rsid w:val="00E96EEC"/>
    <w:rsid w:val="00E97A0C"/>
    <w:rsid w:val="00EA0A36"/>
    <w:rsid w:val="00EC5210"/>
    <w:rsid w:val="00ED51B7"/>
    <w:rsid w:val="00EF6DAE"/>
    <w:rsid w:val="00EF713B"/>
    <w:rsid w:val="00F603A4"/>
    <w:rsid w:val="00F6134D"/>
    <w:rsid w:val="00F714A2"/>
    <w:rsid w:val="00FB4884"/>
    <w:rsid w:val="00FF6CC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FD66A"/>
  <w15:docId w15:val="{A17AB465-8301-4250-B7EB-43CB19DC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4270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F6134D"/>
    <w:pPr>
      <w:keepNext/>
      <w:spacing w:after="0" w:line="240" w:lineRule="auto"/>
      <w:ind w:left="4536"/>
      <w:jc w:val="both"/>
      <w:outlineLvl w:val="1"/>
    </w:pPr>
    <w:rPr>
      <w:rFonts w:ascii="Times New Roman" w:eastAsia="Times New Roman" w:hAnsi="Times New Roman"/>
      <w:sz w:val="24"/>
      <w:szCs w:val="20"/>
      <w:lang w:val="es-E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F6134D"/>
    <w:rPr>
      <w:rFonts w:ascii="Times New Roman" w:eastAsia="Times New Roman" w:hAnsi="Times New Roman"/>
      <w:sz w:val="24"/>
      <w:lang w:val="es-ES"/>
    </w:rPr>
  </w:style>
  <w:style w:type="paragraph" w:styleId="Encabezado">
    <w:name w:val="header"/>
    <w:basedOn w:val="Normal"/>
    <w:link w:val="EncabezadoCar"/>
    <w:rsid w:val="00F6134D"/>
    <w:pPr>
      <w:tabs>
        <w:tab w:val="center" w:pos="4252"/>
        <w:tab w:val="right" w:pos="8504"/>
      </w:tabs>
      <w:spacing w:after="0" w:line="240" w:lineRule="auto"/>
    </w:pPr>
    <w:rPr>
      <w:rFonts w:ascii="Times New Roman" w:eastAsia="Times New Roman" w:hAnsi="Times New Roman"/>
      <w:sz w:val="20"/>
      <w:szCs w:val="20"/>
      <w:lang w:val="es-ES" w:eastAsia="es-CL"/>
    </w:rPr>
  </w:style>
  <w:style w:type="character" w:customStyle="1" w:styleId="EncabezadoCar">
    <w:name w:val="Encabezado Car"/>
    <w:link w:val="Encabezado"/>
    <w:rsid w:val="00F6134D"/>
    <w:rPr>
      <w:rFonts w:ascii="Times New Roman" w:eastAsia="Times New Roman" w:hAnsi="Times New Roman"/>
      <w:lang w:val="es-ES"/>
    </w:rPr>
  </w:style>
  <w:style w:type="paragraph" w:styleId="Piedepgina">
    <w:name w:val="footer"/>
    <w:basedOn w:val="Normal"/>
    <w:link w:val="PiedepginaCar"/>
    <w:uiPriority w:val="99"/>
    <w:rsid w:val="00F6134D"/>
    <w:pPr>
      <w:tabs>
        <w:tab w:val="center" w:pos="4252"/>
        <w:tab w:val="right" w:pos="8504"/>
      </w:tabs>
      <w:spacing w:after="0" w:line="240" w:lineRule="auto"/>
    </w:pPr>
    <w:rPr>
      <w:rFonts w:ascii="Times New Roman" w:eastAsia="Times New Roman" w:hAnsi="Times New Roman"/>
      <w:sz w:val="20"/>
      <w:szCs w:val="20"/>
      <w:lang w:val="es-ES" w:eastAsia="es-CL"/>
    </w:rPr>
  </w:style>
  <w:style w:type="character" w:customStyle="1" w:styleId="PiedepginaCar">
    <w:name w:val="Pie de página Car"/>
    <w:link w:val="Piedepgina"/>
    <w:uiPriority w:val="99"/>
    <w:rsid w:val="00F6134D"/>
    <w:rPr>
      <w:rFonts w:ascii="Times New Roman" w:eastAsia="Times New Roman" w:hAnsi="Times New Roman"/>
      <w:lang w:val="es-ES"/>
    </w:rPr>
  </w:style>
  <w:style w:type="character" w:styleId="Hipervnculo">
    <w:name w:val="Hyperlink"/>
    <w:rsid w:val="00F6134D"/>
    <w:rPr>
      <w:color w:val="0000FF"/>
      <w:u w:val="single"/>
    </w:rPr>
  </w:style>
  <w:style w:type="character" w:customStyle="1" w:styleId="dzaror">
    <w:name w:val="dzaror"/>
    <w:semiHidden/>
    <w:rsid w:val="00F6134D"/>
    <w:rPr>
      <w:rFonts w:ascii="Arial" w:hAnsi="Arial" w:cs="Arial"/>
      <w:color w:val="000080"/>
      <w:sz w:val="20"/>
      <w:szCs w:val="20"/>
    </w:rPr>
  </w:style>
  <w:style w:type="paragraph" w:styleId="Textodeglobo">
    <w:name w:val="Balloon Text"/>
    <w:basedOn w:val="Normal"/>
    <w:link w:val="TextodegloboCar"/>
    <w:uiPriority w:val="99"/>
    <w:semiHidden/>
    <w:unhideWhenUsed/>
    <w:rsid w:val="0074468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744685"/>
    <w:rPr>
      <w:rFonts w:ascii="Segoe UI" w:hAnsi="Segoe UI" w:cs="Segoe UI"/>
      <w:sz w:val="18"/>
      <w:szCs w:val="18"/>
      <w:lang w:eastAsia="en-US"/>
    </w:rPr>
  </w:style>
  <w:style w:type="paragraph" w:styleId="Prrafodelista">
    <w:name w:val="List Paragraph"/>
    <w:basedOn w:val="Normal"/>
    <w:link w:val="PrrafodelistaCar"/>
    <w:uiPriority w:val="34"/>
    <w:qFormat/>
    <w:rsid w:val="007D4F6D"/>
    <w:pPr>
      <w:spacing w:after="160" w:line="259" w:lineRule="auto"/>
      <w:ind w:left="720"/>
      <w:contextualSpacing/>
    </w:pPr>
  </w:style>
  <w:style w:type="paragraph" w:styleId="NormalWeb">
    <w:name w:val="Normal (Web)"/>
    <w:basedOn w:val="Normal"/>
    <w:uiPriority w:val="99"/>
    <w:semiHidden/>
    <w:unhideWhenUsed/>
    <w:rsid w:val="007D4F6D"/>
    <w:pPr>
      <w:spacing w:before="100" w:beforeAutospacing="1" w:after="100" w:afterAutospacing="1" w:line="240" w:lineRule="auto"/>
    </w:pPr>
    <w:rPr>
      <w:rFonts w:ascii="Times New Roman" w:hAnsi="Times New Roman"/>
      <w:sz w:val="24"/>
      <w:szCs w:val="24"/>
      <w:lang w:eastAsia="es-CL"/>
    </w:rPr>
  </w:style>
  <w:style w:type="character" w:styleId="nfasis">
    <w:name w:val="Emphasis"/>
    <w:uiPriority w:val="20"/>
    <w:qFormat/>
    <w:rsid w:val="007D4F6D"/>
    <w:rPr>
      <w:i/>
      <w:iCs/>
    </w:rPr>
  </w:style>
  <w:style w:type="paragraph" w:styleId="Textonotapie">
    <w:name w:val="footnote text"/>
    <w:aliases w:val="Footnote Text Char,fn,Footnote,text"/>
    <w:basedOn w:val="Normal"/>
    <w:link w:val="TextonotapieCar"/>
    <w:uiPriority w:val="99"/>
    <w:unhideWhenUsed/>
    <w:rsid w:val="00ED51B7"/>
    <w:pPr>
      <w:spacing w:after="0" w:line="240" w:lineRule="auto"/>
    </w:pPr>
    <w:rPr>
      <w:rFonts w:asciiTheme="minorHAnsi" w:eastAsiaTheme="minorHAnsi" w:hAnsiTheme="minorHAnsi" w:cstheme="minorBidi"/>
      <w:sz w:val="20"/>
      <w:szCs w:val="20"/>
    </w:rPr>
  </w:style>
  <w:style w:type="character" w:customStyle="1" w:styleId="TextonotapieCar">
    <w:name w:val="Texto nota pie Car"/>
    <w:aliases w:val="Footnote Text Char Car,fn Car,Footnote Car,text Car"/>
    <w:basedOn w:val="Fuentedeprrafopredeter"/>
    <w:link w:val="Textonotapie"/>
    <w:uiPriority w:val="99"/>
    <w:rsid w:val="00ED51B7"/>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ED51B7"/>
    <w:rPr>
      <w:vertAlign w:val="superscript"/>
    </w:rPr>
  </w:style>
  <w:style w:type="paragraph" w:customStyle="1" w:styleId="BodySingle">
    <w:name w:val="Body Single"/>
    <w:basedOn w:val="Textoindependiente"/>
    <w:link w:val="BodySingleChar"/>
    <w:uiPriority w:val="99"/>
    <w:rsid w:val="004270CC"/>
    <w:pPr>
      <w:spacing w:after="0" w:line="260" w:lineRule="atLeast"/>
    </w:pPr>
    <w:rPr>
      <w:rFonts w:ascii="Georgia" w:eastAsia="Times New Roman" w:hAnsi="Georgia"/>
      <w:sz w:val="20"/>
      <w:szCs w:val="20"/>
      <w:lang w:val="en-GB"/>
    </w:rPr>
  </w:style>
  <w:style w:type="character" w:customStyle="1" w:styleId="BodySingleChar">
    <w:name w:val="Body Single Char"/>
    <w:link w:val="BodySingle"/>
    <w:uiPriority w:val="99"/>
    <w:locked/>
    <w:rsid w:val="004270CC"/>
    <w:rPr>
      <w:rFonts w:ascii="Georgia" w:eastAsia="Times New Roman" w:hAnsi="Georgia"/>
      <w:lang w:val="en-GB" w:eastAsia="en-US"/>
    </w:rPr>
  </w:style>
  <w:style w:type="paragraph" w:styleId="Textoindependiente">
    <w:name w:val="Body Text"/>
    <w:basedOn w:val="Normal"/>
    <w:link w:val="TextoindependienteCar"/>
    <w:uiPriority w:val="99"/>
    <w:semiHidden/>
    <w:unhideWhenUsed/>
    <w:rsid w:val="004270CC"/>
    <w:pPr>
      <w:spacing w:after="120"/>
    </w:pPr>
  </w:style>
  <w:style w:type="character" w:customStyle="1" w:styleId="TextoindependienteCar">
    <w:name w:val="Texto independiente Car"/>
    <w:basedOn w:val="Fuentedeprrafopredeter"/>
    <w:link w:val="Textoindependiente"/>
    <w:uiPriority w:val="99"/>
    <w:semiHidden/>
    <w:rsid w:val="004270CC"/>
    <w:rPr>
      <w:sz w:val="22"/>
      <w:szCs w:val="22"/>
      <w:lang w:eastAsia="en-US"/>
    </w:rPr>
  </w:style>
  <w:style w:type="character" w:customStyle="1" w:styleId="Ttulo1Car">
    <w:name w:val="Título 1 Car"/>
    <w:basedOn w:val="Fuentedeprrafopredeter"/>
    <w:link w:val="Ttulo1"/>
    <w:uiPriority w:val="9"/>
    <w:rsid w:val="004270CC"/>
    <w:rPr>
      <w:rFonts w:asciiTheme="majorHAnsi" w:eastAsiaTheme="majorEastAsia" w:hAnsiTheme="majorHAnsi" w:cstheme="majorBidi"/>
      <w:color w:val="2E74B5" w:themeColor="accent1" w:themeShade="BF"/>
      <w:sz w:val="32"/>
      <w:szCs w:val="32"/>
      <w:lang w:eastAsia="en-US"/>
    </w:rPr>
  </w:style>
  <w:style w:type="character" w:customStyle="1" w:styleId="PrrafodelistaCar">
    <w:name w:val="Párrafo de lista Car"/>
    <w:link w:val="Prrafodelista"/>
    <w:uiPriority w:val="34"/>
    <w:locked/>
    <w:rsid w:val="007866AC"/>
    <w:rPr>
      <w:sz w:val="22"/>
      <w:szCs w:val="22"/>
      <w:lang w:eastAsia="en-US"/>
    </w:rPr>
  </w:style>
  <w:style w:type="paragraph" w:styleId="Revisin">
    <w:name w:val="Revision"/>
    <w:hidden/>
    <w:uiPriority w:val="99"/>
    <w:semiHidden/>
    <w:rsid w:val="0029472F"/>
    <w:rPr>
      <w:sz w:val="22"/>
      <w:szCs w:val="22"/>
      <w:lang w:eastAsia="en-US"/>
    </w:rPr>
  </w:style>
  <w:style w:type="character" w:styleId="Refdecomentario">
    <w:name w:val="annotation reference"/>
    <w:basedOn w:val="Fuentedeprrafopredeter"/>
    <w:uiPriority w:val="99"/>
    <w:semiHidden/>
    <w:unhideWhenUsed/>
    <w:rsid w:val="0029472F"/>
    <w:rPr>
      <w:sz w:val="16"/>
      <w:szCs w:val="16"/>
    </w:rPr>
  </w:style>
  <w:style w:type="paragraph" w:styleId="Textocomentario">
    <w:name w:val="annotation text"/>
    <w:basedOn w:val="Normal"/>
    <w:link w:val="TextocomentarioCar"/>
    <w:uiPriority w:val="99"/>
    <w:semiHidden/>
    <w:unhideWhenUsed/>
    <w:rsid w:val="0029472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9472F"/>
    <w:rPr>
      <w:lang w:eastAsia="en-US"/>
    </w:rPr>
  </w:style>
  <w:style w:type="paragraph" w:styleId="Asuntodelcomentario">
    <w:name w:val="annotation subject"/>
    <w:basedOn w:val="Textocomentario"/>
    <w:next w:val="Textocomentario"/>
    <w:link w:val="AsuntodelcomentarioCar"/>
    <w:uiPriority w:val="99"/>
    <w:semiHidden/>
    <w:unhideWhenUsed/>
    <w:rsid w:val="0029472F"/>
    <w:rPr>
      <w:b/>
      <w:bCs/>
    </w:rPr>
  </w:style>
  <w:style w:type="character" w:customStyle="1" w:styleId="AsuntodelcomentarioCar">
    <w:name w:val="Asunto del comentario Car"/>
    <w:basedOn w:val="TextocomentarioCar"/>
    <w:link w:val="Asuntodelcomentario"/>
    <w:uiPriority w:val="99"/>
    <w:semiHidden/>
    <w:rsid w:val="0029472F"/>
    <w:rPr>
      <w:b/>
      <w:bCs/>
      <w:lang w:eastAsia="en-US"/>
    </w:rPr>
  </w:style>
  <w:style w:type="table" w:styleId="Tabladecuadrcula4-nfasis1">
    <w:name w:val="Grid Table 4 Accent 1"/>
    <w:basedOn w:val="Tablanormal"/>
    <w:uiPriority w:val="49"/>
    <w:rsid w:val="00925CBA"/>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Descripcin">
    <w:name w:val="caption"/>
    <w:basedOn w:val="Normal"/>
    <w:next w:val="Normal"/>
    <w:uiPriority w:val="35"/>
    <w:unhideWhenUsed/>
    <w:qFormat/>
    <w:rsid w:val="00925CBA"/>
    <w:pPr>
      <w:spacing w:line="240" w:lineRule="auto"/>
    </w:pPr>
    <w:rPr>
      <w:rFonts w:asciiTheme="minorHAnsi" w:eastAsiaTheme="minorHAnsi" w:hAnsiTheme="minorHAnsi" w:cstheme="minorBidi"/>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262815">
      <w:bodyDiv w:val="1"/>
      <w:marLeft w:val="0"/>
      <w:marRight w:val="0"/>
      <w:marTop w:val="0"/>
      <w:marBottom w:val="0"/>
      <w:divBdr>
        <w:top w:val="none" w:sz="0" w:space="0" w:color="auto"/>
        <w:left w:val="none" w:sz="0" w:space="0" w:color="auto"/>
        <w:bottom w:val="none" w:sz="0" w:space="0" w:color="auto"/>
        <w:right w:val="none" w:sz="0" w:space="0" w:color="auto"/>
      </w:divBdr>
    </w:div>
    <w:div w:id="1148471462">
      <w:bodyDiv w:val="1"/>
      <w:marLeft w:val="0"/>
      <w:marRight w:val="0"/>
      <w:marTop w:val="0"/>
      <w:marBottom w:val="0"/>
      <w:divBdr>
        <w:top w:val="none" w:sz="0" w:space="0" w:color="auto"/>
        <w:left w:val="none" w:sz="0" w:space="0" w:color="auto"/>
        <w:bottom w:val="none" w:sz="0" w:space="0" w:color="auto"/>
        <w:right w:val="none" w:sz="0" w:space="0" w:color="auto"/>
      </w:divBdr>
    </w:div>
    <w:div w:id="145602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6.xml"/></Relationships>
</file>

<file path=word/_rels/footer1.xml.rels><?xml version="1.0" encoding="UTF-8" standalone="yes"?>
<Relationships xmlns="http://schemas.openxmlformats.org/package/2006/relationships"><Relationship Id="rId1" Type="http://schemas.openxmlformats.org/officeDocument/2006/relationships/hyperlink" Target="http://www.subturismo.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D:\Vero\Estad&#237;sticas\Graficos%20llegadas%20y%20divisas\20160310%20Llegadas%20y%20divisas%202014%20201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Vero\Estad&#237;sticas\Graficos%20llegadas%20y%20divisas\20160311%20Llegadas%20y%20divisas%202015%202016.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rbasualto\Desktop\FORMULARIO%20H%20PPTA%202017\20150603%20Proyecci&#243;n%202030%20act%2003062015%20(mod%20vero%20CIFRA%20SGI)%20act2016.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D:\Vero\Estad&#237;sticas\WTTC\20160524%20PIB%20y%20Empleo.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file:///D:\Vero\Estad&#237;sticas\Empleo%20INE\20160620%20Ocupados%20INE.xlsx"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oleObject" Target="file:///D:\Vero\Estad&#237;sticas\Empleo%20INE\20160620%20Ocupados%20INE.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350503062117236E-2"/>
          <c:y val="1.6737907761529808E-2"/>
          <c:w val="0.95252050524934373"/>
          <c:h val="0.73767143971868399"/>
        </c:manualLayout>
      </c:layout>
      <c:barChart>
        <c:barDir val="col"/>
        <c:grouping val="clustered"/>
        <c:varyColors val="0"/>
        <c:ser>
          <c:idx val="0"/>
          <c:order val="0"/>
          <c:tx>
            <c:strRef>
              <c:f>'Tipologia Llegadas'!$G$263</c:f>
              <c:strCache>
                <c:ptCount val="1"/>
                <c:pt idx="0">
                  <c:v>Llegada de Turistas (Miles)</c:v>
                </c:pt>
              </c:strCache>
            </c:strRef>
          </c:tx>
          <c:spPr>
            <a:ln w="28575">
              <a:noFill/>
              <a:prstDash val="solid"/>
            </a:ln>
          </c:spPr>
          <c:invertIfNegative val="0"/>
          <c:dLbls>
            <c:dLbl>
              <c:idx val="10"/>
              <c:numFmt formatCode="#,##0" sourceLinked="0"/>
              <c:spPr>
                <a:noFill/>
                <a:ln w="15875">
                  <a:noFill/>
                </a:ln>
              </c:spPr>
              <c:txPr>
                <a:bodyPr rot="-5400000" vert="horz"/>
                <a:lstStyle/>
                <a:p>
                  <a:pPr>
                    <a:defRPr sz="800" b="1">
                      <a:solidFill>
                        <a:schemeClr val="bg1"/>
                      </a:solidFill>
                    </a:defRPr>
                  </a:pPr>
                  <a:endParaRPr lang="es-CL"/>
                </a:p>
              </c:txPr>
              <c:dLblPos val="ctr"/>
              <c:showLegendKey val="0"/>
              <c:showVal val="1"/>
              <c:showCatName val="0"/>
              <c:showSerName val="0"/>
              <c:showPercent val="0"/>
              <c:showBubbleSize val="0"/>
            </c:dLbl>
            <c:numFmt formatCode="#,##0" sourceLinked="0"/>
            <c:spPr>
              <a:noFill/>
              <a:ln w="25400">
                <a:noFill/>
              </a:ln>
            </c:spPr>
            <c:txPr>
              <a:bodyPr rot="-5400000" vert="horz"/>
              <a:lstStyle/>
              <a:p>
                <a:pPr>
                  <a:defRPr sz="800" b="1">
                    <a:solidFill>
                      <a:schemeClr val="bg1"/>
                    </a:solidFill>
                  </a:defRPr>
                </a:pPr>
                <a:endParaRPr lang="es-C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'Tipologia Llegadas'!$E$264:$E$271</c:f>
              <c:numCache>
                <c:formatCode>General</c:formatCode>
                <c:ptCount val="8"/>
                <c:pt idx="0">
                  <c:v>2008</c:v>
                </c:pt>
                <c:pt idx="1">
                  <c:v>2009</c:v>
                </c:pt>
                <c:pt idx="2">
                  <c:v>2010</c:v>
                </c:pt>
                <c:pt idx="3">
                  <c:v>2011</c:v>
                </c:pt>
                <c:pt idx="4">
                  <c:v>2012</c:v>
                </c:pt>
                <c:pt idx="5">
                  <c:v>2013</c:v>
                </c:pt>
                <c:pt idx="6">
                  <c:v>2014</c:v>
                </c:pt>
                <c:pt idx="7">
                  <c:v>2015</c:v>
                </c:pt>
              </c:numCache>
            </c:numRef>
          </c:cat>
          <c:val>
            <c:numRef>
              <c:f>'Tipologia Llegadas'!$G$264:$G$271</c:f>
              <c:numCache>
                <c:formatCode>#,##0_ ;\-#,##0\ </c:formatCode>
                <c:ptCount val="8"/>
                <c:pt idx="0">
                  <c:v>2710.0235019999996</c:v>
                </c:pt>
                <c:pt idx="1">
                  <c:v>2759.6952399999991</c:v>
                </c:pt>
                <c:pt idx="2">
                  <c:v>2800.636864000001</c:v>
                </c:pt>
                <c:pt idx="3">
                  <c:v>3137.2848890000018</c:v>
                </c:pt>
                <c:pt idx="4">
                  <c:v>3554.2790009999994</c:v>
                </c:pt>
                <c:pt idx="5">
                  <c:v>3576.2039999999952</c:v>
                </c:pt>
                <c:pt idx="6">
                  <c:v>3674.3910000000151</c:v>
                </c:pt>
                <c:pt idx="7">
                  <c:v>4478.3360000000002</c:v>
                </c:pt>
              </c:numCache>
            </c:numRef>
          </c:val>
        </c:ser>
        <c:dLbls>
          <c:showLegendKey val="0"/>
          <c:showVal val="0"/>
          <c:showCatName val="0"/>
          <c:showSerName val="0"/>
          <c:showPercent val="0"/>
          <c:showBubbleSize val="0"/>
        </c:dLbls>
        <c:gapWidth val="150"/>
        <c:axId val="395939872"/>
        <c:axId val="395939088"/>
      </c:barChart>
      <c:barChart>
        <c:barDir val="col"/>
        <c:grouping val="clustered"/>
        <c:varyColors val="0"/>
        <c:ser>
          <c:idx val="1"/>
          <c:order val="1"/>
          <c:tx>
            <c:strRef>
              <c:f>'Tipologia Llegadas'!$H$263</c:f>
              <c:strCache>
                <c:ptCount val="1"/>
                <c:pt idx="0">
                  <c:v>% Var Anual</c:v>
                </c:pt>
              </c:strCache>
            </c:strRef>
          </c:tx>
          <c:spPr>
            <a:solidFill>
              <a:schemeClr val="bg1">
                <a:lumMod val="75000"/>
              </a:schemeClr>
            </a:solidFill>
            <a:ln w="25400">
              <a:noFill/>
            </a:ln>
          </c:spPr>
          <c:invertIfNegative val="0"/>
          <c:dLbls>
            <c:dLbl>
              <c:idx val="4"/>
              <c:layout>
                <c:manualLayout>
                  <c:x val="5.6377730796334929E-3"/>
                  <c:y val="0"/>
                </c:manualLayout>
              </c:layout>
              <c:showLegendKey val="0"/>
              <c:showVal val="1"/>
              <c:showCatName val="0"/>
              <c:showSerName val="0"/>
              <c:showPercent val="0"/>
              <c:showBubbleSize val="0"/>
              <c:extLst>
                <c:ext xmlns:c15="http://schemas.microsoft.com/office/drawing/2012/chart" uri="{CE6537A1-D6FC-4f65-9D91-7224C49458BB}"/>
              </c:extLst>
            </c:dLbl>
            <c:numFmt formatCode="0.0%_ ;[Red]\-0.0%" sourceLinked="0"/>
            <c:spPr>
              <a:noFill/>
              <a:ln w="25400">
                <a:noFill/>
              </a:ln>
            </c:spPr>
            <c:txPr>
              <a:bodyPr/>
              <a:lstStyle/>
              <a:p>
                <a:pPr>
                  <a:defRPr b="1">
                    <a:solidFill>
                      <a:srgbClr val="0070C0"/>
                    </a:solidFill>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'Tipologia Llegadas'!$E$264:$E$271</c:f>
              <c:numCache>
                <c:formatCode>General</c:formatCode>
                <c:ptCount val="8"/>
                <c:pt idx="0">
                  <c:v>2008</c:v>
                </c:pt>
                <c:pt idx="1">
                  <c:v>2009</c:v>
                </c:pt>
                <c:pt idx="2">
                  <c:v>2010</c:v>
                </c:pt>
                <c:pt idx="3">
                  <c:v>2011</c:v>
                </c:pt>
                <c:pt idx="4">
                  <c:v>2012</c:v>
                </c:pt>
                <c:pt idx="5">
                  <c:v>2013</c:v>
                </c:pt>
                <c:pt idx="6">
                  <c:v>2014</c:v>
                </c:pt>
                <c:pt idx="7">
                  <c:v>2015</c:v>
                </c:pt>
              </c:numCache>
            </c:numRef>
          </c:cat>
          <c:val>
            <c:numRef>
              <c:f>'Tipologia Llegadas'!$H$264:$H$271</c:f>
              <c:numCache>
                <c:formatCode>0.0%</c:formatCode>
                <c:ptCount val="8"/>
                <c:pt idx="1">
                  <c:v>1.8328895658410893E-2</c:v>
                </c:pt>
                <c:pt idx="2">
                  <c:v>1.4835559885953975E-2</c:v>
                </c:pt>
                <c:pt idx="3">
                  <c:v>0.12020409690643885</c:v>
                </c:pt>
                <c:pt idx="4">
                  <c:v>0.13291560274365555</c:v>
                </c:pt>
                <c:pt idx="5">
                  <c:v>6.1686206946125477E-3</c:v>
                </c:pt>
                <c:pt idx="6">
                  <c:v>2.7455648503278862E-2</c:v>
                </c:pt>
                <c:pt idx="7">
                  <c:v>0.21879680197343765</c:v>
                </c:pt>
              </c:numCache>
            </c:numRef>
          </c:val>
        </c:ser>
        <c:dLbls>
          <c:showLegendKey val="0"/>
          <c:showVal val="0"/>
          <c:showCatName val="0"/>
          <c:showSerName val="0"/>
          <c:showPercent val="0"/>
          <c:showBubbleSize val="0"/>
        </c:dLbls>
        <c:gapWidth val="150"/>
        <c:axId val="395939480"/>
        <c:axId val="432406632"/>
      </c:barChart>
      <c:catAx>
        <c:axId val="395939872"/>
        <c:scaling>
          <c:orientation val="minMax"/>
        </c:scaling>
        <c:delete val="0"/>
        <c:axPos val="b"/>
        <c:title>
          <c:tx>
            <c:rich>
              <a:bodyPr/>
              <a:lstStyle/>
              <a:p>
                <a:pPr>
                  <a:defRPr b="1"/>
                </a:pPr>
                <a:r>
                  <a:rPr lang="es-ES" b="1"/>
                  <a:t>Años</a:t>
                </a:r>
              </a:p>
            </c:rich>
          </c:tx>
          <c:layout>
            <c:manualLayout>
              <c:xMode val="edge"/>
              <c:yMode val="edge"/>
              <c:x val="0.46596183289588811"/>
              <c:y val="0.83032985741647192"/>
            </c:manualLayout>
          </c:layout>
          <c:overlay val="0"/>
          <c:spPr>
            <a:noFill/>
            <a:ln w="25400">
              <a:noFill/>
            </a:ln>
          </c:spPr>
        </c:title>
        <c:numFmt formatCode="General" sourceLinked="1"/>
        <c:majorTickMark val="none"/>
        <c:minorTickMark val="none"/>
        <c:tickLblPos val="nextTo"/>
        <c:spPr>
          <a:ln w="3175">
            <a:noFill/>
            <a:prstDash val="solid"/>
          </a:ln>
        </c:spPr>
        <c:txPr>
          <a:bodyPr rot="0" vert="horz"/>
          <a:lstStyle/>
          <a:p>
            <a:pPr>
              <a:defRPr>
                <a:solidFill>
                  <a:sysClr val="windowText" lastClr="000000"/>
                </a:solidFill>
              </a:defRPr>
            </a:pPr>
            <a:endParaRPr lang="es-CL"/>
          </a:p>
        </c:txPr>
        <c:crossAx val="395939088"/>
        <c:crosses val="autoZero"/>
        <c:auto val="1"/>
        <c:lblAlgn val="ctr"/>
        <c:lblOffset val="100"/>
        <c:tickLblSkip val="1"/>
        <c:tickMarkSkip val="1"/>
        <c:noMultiLvlLbl val="0"/>
      </c:catAx>
      <c:valAx>
        <c:axId val="395939088"/>
        <c:scaling>
          <c:orientation val="minMax"/>
          <c:max val="6000"/>
          <c:min val="0"/>
        </c:scaling>
        <c:delete val="0"/>
        <c:axPos val="l"/>
        <c:numFmt formatCode="#,##0" sourceLinked="0"/>
        <c:majorTickMark val="none"/>
        <c:minorTickMark val="none"/>
        <c:tickLblPos val="none"/>
        <c:spPr>
          <a:ln w="3175">
            <a:noFill/>
            <a:prstDash val="solid"/>
          </a:ln>
        </c:spPr>
        <c:txPr>
          <a:bodyPr rot="0" vert="horz"/>
          <a:lstStyle/>
          <a:p>
            <a:pPr>
              <a:defRPr sz="700"/>
            </a:pPr>
            <a:endParaRPr lang="es-CL"/>
          </a:p>
        </c:txPr>
        <c:crossAx val="395939872"/>
        <c:crosses val="autoZero"/>
        <c:crossBetween val="between"/>
      </c:valAx>
      <c:catAx>
        <c:axId val="395939480"/>
        <c:scaling>
          <c:orientation val="minMax"/>
        </c:scaling>
        <c:delete val="1"/>
        <c:axPos val="b"/>
        <c:numFmt formatCode="General" sourceLinked="1"/>
        <c:majorTickMark val="out"/>
        <c:minorTickMark val="none"/>
        <c:tickLblPos val="none"/>
        <c:crossAx val="432406632"/>
        <c:crosses val="autoZero"/>
        <c:auto val="1"/>
        <c:lblAlgn val="ctr"/>
        <c:lblOffset val="100"/>
        <c:noMultiLvlLbl val="0"/>
      </c:catAx>
      <c:valAx>
        <c:axId val="432406632"/>
        <c:scaling>
          <c:orientation val="minMax"/>
          <c:max val="0.30000000000000004"/>
          <c:min val="-1"/>
        </c:scaling>
        <c:delete val="0"/>
        <c:axPos val="r"/>
        <c:numFmt formatCode="0.0%" sourceLinked="1"/>
        <c:majorTickMark val="none"/>
        <c:minorTickMark val="none"/>
        <c:tickLblPos val="none"/>
        <c:spPr>
          <a:ln w="9525">
            <a:noFill/>
          </a:ln>
        </c:spPr>
        <c:crossAx val="395939480"/>
        <c:crosses val="max"/>
        <c:crossBetween val="between"/>
        <c:majorUnit val="0.5"/>
      </c:valAx>
      <c:spPr>
        <a:solidFill>
          <a:srgbClr val="FFFFFF"/>
        </a:solidFill>
        <a:ln w="25400">
          <a:noFill/>
        </a:ln>
      </c:spPr>
    </c:plotArea>
    <c:legend>
      <c:legendPos val="r"/>
      <c:layout>
        <c:manualLayout>
          <c:xMode val="edge"/>
          <c:yMode val="edge"/>
          <c:x val="7.1111111111111111E-2"/>
          <c:y val="0.89538847467075466"/>
          <c:w val="0.83701677290338705"/>
          <c:h val="7.7290781130234812E-2"/>
        </c:manualLayout>
      </c:layout>
      <c:overlay val="0"/>
      <c:spPr>
        <a:noFill/>
        <a:ln w="25400">
          <a:noFill/>
        </a:ln>
      </c:spPr>
      <c:txPr>
        <a:bodyPr/>
        <a:lstStyle/>
        <a:p>
          <a:pPr>
            <a:defRPr sz="700" b="0" kern="0" baseline="0"/>
          </a:pPr>
          <a:endParaRPr lang="es-CL"/>
        </a:p>
      </c:txPr>
    </c:legend>
    <c:plotVisOnly val="1"/>
    <c:dispBlanksAs val="gap"/>
    <c:showDLblsOverMax val="0"/>
  </c:chart>
  <c:spPr>
    <a:ln w="9525">
      <a:noFill/>
    </a:ln>
  </c:spPr>
  <c:txPr>
    <a:bodyPr/>
    <a:lstStyle/>
    <a:p>
      <a:pPr>
        <a:defRPr sz="740" b="0" i="0" u="none" strike="noStrike" baseline="0">
          <a:solidFill>
            <a:srgbClr val="000000"/>
          </a:solidFill>
          <a:latin typeface="Verdana" pitchFamily="34" charset="0"/>
          <a:ea typeface="Verdana" pitchFamily="34" charset="0"/>
          <a:cs typeface="Verdana" pitchFamily="34" charset="0"/>
        </a:defRPr>
      </a:pPr>
      <a:endParaRPr lang="es-C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350503062117236E-2"/>
          <c:y val="6.7663677456984539E-2"/>
          <c:w val="0.95252050524934373"/>
          <c:h val="0.68674540682414698"/>
        </c:manualLayout>
      </c:layout>
      <c:barChart>
        <c:barDir val="col"/>
        <c:grouping val="clustered"/>
        <c:varyColors val="0"/>
        <c:ser>
          <c:idx val="0"/>
          <c:order val="0"/>
          <c:tx>
            <c:strRef>
              <c:f>Divisas!$C$12</c:f>
              <c:strCache>
                <c:ptCount val="1"/>
                <c:pt idx="0">
                  <c:v>Ingreso de divisas (Millones US$)</c:v>
                </c:pt>
              </c:strCache>
            </c:strRef>
          </c:tx>
          <c:spPr>
            <a:ln w="28575">
              <a:noFill/>
              <a:prstDash val="solid"/>
            </a:ln>
          </c:spPr>
          <c:invertIfNegative val="0"/>
          <c:dLbls>
            <c:dLbl>
              <c:idx val="10"/>
              <c:numFmt formatCode="#,##0" sourceLinked="0"/>
              <c:spPr>
                <a:noFill/>
                <a:ln w="15875">
                  <a:noFill/>
                </a:ln>
              </c:spPr>
              <c:txPr>
                <a:bodyPr rot="-5400000" vert="horz"/>
                <a:lstStyle/>
                <a:p>
                  <a:pPr>
                    <a:defRPr sz="800" b="1">
                      <a:solidFill>
                        <a:schemeClr val="bg1"/>
                      </a:solidFill>
                    </a:defRPr>
                  </a:pPr>
                  <a:endParaRPr lang="es-CL"/>
                </a:p>
              </c:txPr>
              <c:dLblPos val="ctr"/>
              <c:showLegendKey val="0"/>
              <c:showVal val="1"/>
              <c:showCatName val="0"/>
              <c:showSerName val="0"/>
              <c:showPercent val="0"/>
              <c:showBubbleSize val="0"/>
            </c:dLbl>
            <c:numFmt formatCode="#,##0" sourceLinked="0"/>
            <c:spPr>
              <a:noFill/>
              <a:ln w="25400">
                <a:noFill/>
              </a:ln>
            </c:spPr>
            <c:txPr>
              <a:bodyPr rot="-5400000" vert="horz"/>
              <a:lstStyle/>
              <a:p>
                <a:pPr>
                  <a:defRPr sz="800" b="1">
                    <a:solidFill>
                      <a:schemeClr val="bg1"/>
                    </a:solidFill>
                  </a:defRPr>
                </a:pPr>
                <a:endParaRPr lang="es-C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Divisas!$A$20:$A$27</c:f>
              <c:numCache>
                <c:formatCode>General</c:formatCode>
                <c:ptCount val="8"/>
                <c:pt idx="0">
                  <c:v>2008</c:v>
                </c:pt>
                <c:pt idx="1">
                  <c:v>2009</c:v>
                </c:pt>
                <c:pt idx="2">
                  <c:v>2010</c:v>
                </c:pt>
                <c:pt idx="3">
                  <c:v>2011</c:v>
                </c:pt>
                <c:pt idx="4">
                  <c:v>2012</c:v>
                </c:pt>
                <c:pt idx="5">
                  <c:v>2013</c:v>
                </c:pt>
                <c:pt idx="6">
                  <c:v>2014</c:v>
                </c:pt>
                <c:pt idx="7">
                  <c:v>2015</c:v>
                </c:pt>
              </c:numCache>
            </c:numRef>
          </c:cat>
          <c:val>
            <c:numRef>
              <c:f>Divisas!$C$20:$C$27</c:f>
              <c:numCache>
                <c:formatCode>#,##0.0</c:formatCode>
                <c:ptCount val="8"/>
                <c:pt idx="0">
                  <c:v>2013.8811344964292</c:v>
                </c:pt>
                <c:pt idx="1">
                  <c:v>2005.8304001917286</c:v>
                </c:pt>
                <c:pt idx="2">
                  <c:v>2042.929150299251</c:v>
                </c:pt>
                <c:pt idx="3">
                  <c:v>2261.1369856994916</c:v>
                </c:pt>
                <c:pt idx="4">
                  <c:v>2559.4697520094937</c:v>
                </c:pt>
                <c:pt idx="5">
                  <c:v>2581.1335414802352</c:v>
                </c:pt>
                <c:pt idx="6">
                  <c:v>2670.8899140372919</c:v>
                </c:pt>
                <c:pt idx="7">
                  <c:v>2909.8943671842317</c:v>
                </c:pt>
              </c:numCache>
            </c:numRef>
          </c:val>
        </c:ser>
        <c:dLbls>
          <c:showLegendKey val="0"/>
          <c:showVal val="0"/>
          <c:showCatName val="0"/>
          <c:showSerName val="0"/>
          <c:showPercent val="0"/>
          <c:showBubbleSize val="0"/>
        </c:dLbls>
        <c:gapWidth val="150"/>
        <c:axId val="432407416"/>
        <c:axId val="432407808"/>
      </c:barChart>
      <c:barChart>
        <c:barDir val="col"/>
        <c:grouping val="clustered"/>
        <c:varyColors val="0"/>
        <c:ser>
          <c:idx val="1"/>
          <c:order val="1"/>
          <c:tx>
            <c:strRef>
              <c:f>Divisas!$D$12</c:f>
              <c:strCache>
                <c:ptCount val="1"/>
                <c:pt idx="0">
                  <c:v>% Var anual nominal (moneda de cada año)</c:v>
                </c:pt>
              </c:strCache>
            </c:strRef>
          </c:tx>
          <c:spPr>
            <a:solidFill>
              <a:schemeClr val="bg1">
                <a:lumMod val="75000"/>
              </a:schemeClr>
            </a:solidFill>
            <a:ln w="25400">
              <a:noFill/>
            </a:ln>
          </c:spPr>
          <c:invertIfNegative val="0"/>
          <c:dLbls>
            <c:dLbl>
              <c:idx val="4"/>
              <c:layout>
                <c:manualLayout>
                  <c:x val="5.6377730796334929E-3"/>
                  <c:y val="0"/>
                </c:manualLayout>
              </c:layout>
              <c:showLegendKey val="0"/>
              <c:showVal val="1"/>
              <c:showCatName val="0"/>
              <c:showSerName val="0"/>
              <c:showPercent val="0"/>
              <c:showBubbleSize val="0"/>
              <c:extLst>
                <c:ext xmlns:c15="http://schemas.microsoft.com/office/drawing/2012/chart" uri="{CE6537A1-D6FC-4f65-9D91-7224C49458BB}"/>
              </c:extLst>
            </c:dLbl>
            <c:numFmt formatCode="0.0%_ ;[Red]\-0.0%" sourceLinked="0"/>
            <c:spPr>
              <a:noFill/>
              <a:ln w="25400">
                <a:noFill/>
              </a:ln>
            </c:spPr>
            <c:txPr>
              <a:bodyPr/>
              <a:lstStyle/>
              <a:p>
                <a:pPr>
                  <a:defRPr b="1">
                    <a:solidFill>
                      <a:srgbClr val="0070C0"/>
                    </a:solidFill>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Divisas!$A$20:$A$27</c:f>
              <c:numCache>
                <c:formatCode>General</c:formatCode>
                <c:ptCount val="8"/>
                <c:pt idx="0">
                  <c:v>2008</c:v>
                </c:pt>
                <c:pt idx="1">
                  <c:v>2009</c:v>
                </c:pt>
                <c:pt idx="2">
                  <c:v>2010</c:v>
                </c:pt>
                <c:pt idx="3">
                  <c:v>2011</c:v>
                </c:pt>
                <c:pt idx="4">
                  <c:v>2012</c:v>
                </c:pt>
                <c:pt idx="5">
                  <c:v>2013</c:v>
                </c:pt>
                <c:pt idx="6">
                  <c:v>2014</c:v>
                </c:pt>
                <c:pt idx="7">
                  <c:v>2015</c:v>
                </c:pt>
              </c:numCache>
            </c:numRef>
          </c:cat>
          <c:val>
            <c:numRef>
              <c:f>Divisas!$D$20:$D$27</c:f>
              <c:numCache>
                <c:formatCode>0.0%_ ;[Red]\-0.0%</c:formatCode>
                <c:ptCount val="8"/>
                <c:pt idx="0">
                  <c:v>6.253618173637765E-2</c:v>
                </c:pt>
                <c:pt idx="1">
                  <c:v>-3.9976213922445769E-3</c:v>
                </c:pt>
                <c:pt idx="2">
                  <c:v>1.8495457095463408E-2</c:v>
                </c:pt>
                <c:pt idx="3">
                  <c:v>0.1068112593959889</c:v>
                </c:pt>
                <c:pt idx="4">
                  <c:v>0.13193927134746852</c:v>
                </c:pt>
                <c:pt idx="5">
                  <c:v>8.4641709298314272E-3</c:v>
                </c:pt>
                <c:pt idx="6">
                  <c:v>3.4774013476878363E-2</c:v>
                </c:pt>
                <c:pt idx="7">
                  <c:v>8.9484951023557135E-2</c:v>
                </c:pt>
              </c:numCache>
            </c:numRef>
          </c:val>
        </c:ser>
        <c:dLbls>
          <c:showLegendKey val="0"/>
          <c:showVal val="0"/>
          <c:showCatName val="0"/>
          <c:showSerName val="0"/>
          <c:showPercent val="0"/>
          <c:showBubbleSize val="0"/>
        </c:dLbls>
        <c:gapWidth val="150"/>
        <c:axId val="432408200"/>
        <c:axId val="433427200"/>
      </c:barChart>
      <c:catAx>
        <c:axId val="432407416"/>
        <c:scaling>
          <c:orientation val="minMax"/>
        </c:scaling>
        <c:delete val="0"/>
        <c:axPos val="b"/>
        <c:title>
          <c:tx>
            <c:rich>
              <a:bodyPr/>
              <a:lstStyle/>
              <a:p>
                <a:pPr>
                  <a:defRPr b="1"/>
                </a:pPr>
                <a:r>
                  <a:rPr lang="es-ES" b="1"/>
                  <a:t>Años</a:t>
                </a:r>
              </a:p>
            </c:rich>
          </c:tx>
          <c:layout>
            <c:manualLayout>
              <c:xMode val="edge"/>
              <c:yMode val="edge"/>
              <c:x val="0.46596183289588811"/>
              <c:y val="0.83032985741647192"/>
            </c:manualLayout>
          </c:layout>
          <c:overlay val="0"/>
          <c:spPr>
            <a:noFill/>
            <a:ln w="25400">
              <a:noFill/>
            </a:ln>
          </c:spPr>
        </c:title>
        <c:numFmt formatCode="General" sourceLinked="1"/>
        <c:majorTickMark val="none"/>
        <c:minorTickMark val="none"/>
        <c:tickLblPos val="nextTo"/>
        <c:spPr>
          <a:ln w="3175">
            <a:noFill/>
            <a:prstDash val="solid"/>
          </a:ln>
        </c:spPr>
        <c:txPr>
          <a:bodyPr rot="0" vert="horz"/>
          <a:lstStyle/>
          <a:p>
            <a:pPr>
              <a:defRPr>
                <a:solidFill>
                  <a:sysClr val="windowText" lastClr="000000"/>
                </a:solidFill>
              </a:defRPr>
            </a:pPr>
            <a:endParaRPr lang="es-CL"/>
          </a:p>
        </c:txPr>
        <c:crossAx val="432407808"/>
        <c:crosses val="autoZero"/>
        <c:auto val="1"/>
        <c:lblAlgn val="ctr"/>
        <c:lblOffset val="100"/>
        <c:tickLblSkip val="1"/>
        <c:tickMarkSkip val="1"/>
        <c:noMultiLvlLbl val="0"/>
      </c:catAx>
      <c:valAx>
        <c:axId val="432407808"/>
        <c:scaling>
          <c:orientation val="minMax"/>
          <c:max val="4000"/>
          <c:min val="0"/>
        </c:scaling>
        <c:delete val="0"/>
        <c:axPos val="l"/>
        <c:numFmt formatCode="#,##0" sourceLinked="0"/>
        <c:majorTickMark val="none"/>
        <c:minorTickMark val="none"/>
        <c:tickLblPos val="none"/>
        <c:spPr>
          <a:ln w="3175">
            <a:noFill/>
            <a:prstDash val="solid"/>
          </a:ln>
        </c:spPr>
        <c:txPr>
          <a:bodyPr rot="0" vert="horz"/>
          <a:lstStyle/>
          <a:p>
            <a:pPr>
              <a:defRPr sz="700"/>
            </a:pPr>
            <a:endParaRPr lang="es-CL"/>
          </a:p>
        </c:txPr>
        <c:crossAx val="432407416"/>
        <c:crosses val="autoZero"/>
        <c:crossBetween val="between"/>
      </c:valAx>
      <c:catAx>
        <c:axId val="432408200"/>
        <c:scaling>
          <c:orientation val="minMax"/>
        </c:scaling>
        <c:delete val="1"/>
        <c:axPos val="b"/>
        <c:numFmt formatCode="General" sourceLinked="1"/>
        <c:majorTickMark val="out"/>
        <c:minorTickMark val="none"/>
        <c:tickLblPos val="none"/>
        <c:crossAx val="433427200"/>
        <c:crosses val="autoZero"/>
        <c:auto val="1"/>
        <c:lblAlgn val="ctr"/>
        <c:lblOffset val="100"/>
        <c:noMultiLvlLbl val="0"/>
      </c:catAx>
      <c:valAx>
        <c:axId val="433427200"/>
        <c:scaling>
          <c:orientation val="minMax"/>
          <c:max val="0.15000000000000002"/>
          <c:min val="-0.5"/>
        </c:scaling>
        <c:delete val="0"/>
        <c:axPos val="r"/>
        <c:numFmt formatCode="0.0%_ ;[Red]\-0.0%" sourceLinked="1"/>
        <c:majorTickMark val="none"/>
        <c:minorTickMark val="none"/>
        <c:tickLblPos val="none"/>
        <c:spPr>
          <a:ln w="9525">
            <a:noFill/>
          </a:ln>
        </c:spPr>
        <c:crossAx val="432408200"/>
        <c:crosses val="max"/>
        <c:crossBetween val="between"/>
      </c:valAx>
      <c:spPr>
        <a:solidFill>
          <a:srgbClr val="FFFFFF"/>
        </a:solidFill>
        <a:ln w="25400">
          <a:noFill/>
        </a:ln>
      </c:spPr>
    </c:plotArea>
    <c:legend>
      <c:legendPos val="r"/>
      <c:layout>
        <c:manualLayout>
          <c:xMode val="edge"/>
          <c:yMode val="edge"/>
          <c:x val="0"/>
          <c:y val="0.88707166812481775"/>
          <c:w val="0.99936714362317614"/>
          <c:h val="0.11292833187518227"/>
        </c:manualLayout>
      </c:layout>
      <c:overlay val="0"/>
      <c:spPr>
        <a:noFill/>
        <a:ln w="25400">
          <a:noFill/>
        </a:ln>
      </c:spPr>
      <c:txPr>
        <a:bodyPr/>
        <a:lstStyle/>
        <a:p>
          <a:pPr>
            <a:defRPr sz="700" b="0" kern="0" baseline="0"/>
          </a:pPr>
          <a:endParaRPr lang="es-CL"/>
        </a:p>
      </c:txPr>
    </c:legend>
    <c:plotVisOnly val="1"/>
    <c:dispBlanksAs val="gap"/>
    <c:showDLblsOverMax val="0"/>
  </c:chart>
  <c:spPr>
    <a:ln w="9525">
      <a:noFill/>
    </a:ln>
  </c:spPr>
  <c:txPr>
    <a:bodyPr/>
    <a:lstStyle/>
    <a:p>
      <a:pPr>
        <a:defRPr sz="740" b="0" i="0" u="none" strike="noStrike" baseline="0">
          <a:solidFill>
            <a:srgbClr val="000000"/>
          </a:solidFill>
          <a:latin typeface="Verdana" pitchFamily="34" charset="0"/>
          <a:ea typeface="Verdana" pitchFamily="34" charset="0"/>
          <a:cs typeface="Verdana" pitchFamily="34" charset="0"/>
        </a:defRPr>
      </a:pPr>
      <a:endParaRPr lang="es-C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2225" cap="rnd" cmpd="sng" algn="ctr">
              <a:solidFill>
                <a:schemeClr val="accent1"/>
              </a:solidFill>
              <a:round/>
            </a:ln>
            <a:effectLst/>
          </c:spPr>
          <c:marker>
            <c:symbol val="none"/>
          </c:marker>
          <c:dPt>
            <c:idx val="17"/>
            <c:marker>
              <c:symbol val="none"/>
            </c:marker>
            <c:bubble3D val="0"/>
            <c:spPr>
              <a:ln w="22225" cap="rnd" cmpd="sng" algn="ctr">
                <a:solidFill>
                  <a:srgbClr val="FF0000"/>
                </a:solidFill>
                <a:round/>
              </a:ln>
              <a:effectLst/>
            </c:spPr>
          </c:dPt>
          <c:dPt>
            <c:idx val="18"/>
            <c:marker>
              <c:symbol val="none"/>
            </c:marker>
            <c:bubble3D val="0"/>
            <c:spPr>
              <a:ln w="22225" cap="rnd" cmpd="sng" algn="ctr">
                <a:solidFill>
                  <a:srgbClr val="FF0000"/>
                </a:solidFill>
                <a:round/>
              </a:ln>
              <a:effectLst/>
            </c:spPr>
          </c:dPt>
          <c:dPt>
            <c:idx val="19"/>
            <c:marker>
              <c:symbol val="none"/>
            </c:marker>
            <c:bubble3D val="0"/>
            <c:spPr>
              <a:ln w="22225" cap="rnd" cmpd="sng" algn="ctr">
                <a:solidFill>
                  <a:srgbClr val="FF0000"/>
                </a:solidFill>
                <a:round/>
              </a:ln>
              <a:effectLst/>
            </c:spPr>
          </c:dPt>
          <c:dPt>
            <c:idx val="20"/>
            <c:marker>
              <c:symbol val="none"/>
            </c:marker>
            <c:bubble3D val="0"/>
            <c:spPr>
              <a:ln w="22225" cap="rnd" cmpd="sng" algn="ctr">
                <a:solidFill>
                  <a:srgbClr val="FF0000"/>
                </a:solidFill>
                <a:round/>
              </a:ln>
              <a:effectLst/>
            </c:spPr>
          </c:dPt>
          <c:cat>
            <c:numRef>
              <c:f>'Historico Llegadas'!$A$32:$A$52</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'Historico Llegadas'!$B$32:$B$52</c:f>
              <c:numCache>
                <c:formatCode>_-* #,##0_-;\-* #,##0_-;_-* "-"??_-;_-@_-</c:formatCode>
                <c:ptCount val="21"/>
                <c:pt idx="0">
                  <c:v>1742407</c:v>
                </c:pt>
                <c:pt idx="1">
                  <c:v>1723107</c:v>
                </c:pt>
                <c:pt idx="2">
                  <c:v>1412315</c:v>
                </c:pt>
                <c:pt idx="3">
                  <c:v>1613523</c:v>
                </c:pt>
                <c:pt idx="4">
                  <c:v>1785024</c:v>
                </c:pt>
                <c:pt idx="5">
                  <c:v>2027082</c:v>
                </c:pt>
                <c:pt idx="6">
                  <c:v>2252952</c:v>
                </c:pt>
                <c:pt idx="7">
                  <c:v>2506756</c:v>
                </c:pt>
                <c:pt idx="8">
                  <c:v>2710024</c:v>
                </c:pt>
                <c:pt idx="9">
                  <c:v>2759695</c:v>
                </c:pt>
                <c:pt idx="10">
                  <c:v>2800637</c:v>
                </c:pt>
                <c:pt idx="11">
                  <c:v>3137285</c:v>
                </c:pt>
                <c:pt idx="12">
                  <c:v>3554279</c:v>
                </c:pt>
                <c:pt idx="13">
                  <c:v>3576204</c:v>
                </c:pt>
                <c:pt idx="14">
                  <c:v>3674391</c:v>
                </c:pt>
                <c:pt idx="15">
                  <c:v>4478336</c:v>
                </c:pt>
                <c:pt idx="16">
                  <c:v>5474618</c:v>
                </c:pt>
                <c:pt idx="17">
                  <c:v>5668597.2819124246</c:v>
                </c:pt>
                <c:pt idx="18">
                  <c:v>5869449.7304661125</c:v>
                </c:pt>
                <c:pt idx="19">
                  <c:v>6077418.8789869575</c:v>
                </c:pt>
                <c:pt idx="20">
                  <c:v>6292756.8897900684</c:v>
                </c:pt>
              </c:numCache>
            </c:numRef>
          </c:val>
          <c:smooth val="0"/>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433427984"/>
        <c:axId val="433428376"/>
      </c:lineChart>
      <c:catAx>
        <c:axId val="43342798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CL"/>
          </a:p>
        </c:txPr>
        <c:crossAx val="433428376"/>
        <c:crosses val="autoZero"/>
        <c:auto val="1"/>
        <c:lblAlgn val="ctr"/>
        <c:lblOffset val="100"/>
        <c:noMultiLvlLbl val="0"/>
      </c:catAx>
      <c:valAx>
        <c:axId val="433428376"/>
        <c:scaling>
          <c:orientation val="minMax"/>
        </c:scaling>
        <c:delete val="0"/>
        <c:axPos val="l"/>
        <c:majorGridlines>
          <c:spPr>
            <a:ln>
              <a:solidFill>
                <a:schemeClr val="dk1">
                  <a:lumMod val="15000"/>
                  <a:lumOff val="85000"/>
                </a:schemeClr>
              </a:solidFill>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CL"/>
          </a:p>
        </c:txPr>
        <c:crossAx val="433427984"/>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s-C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575933263264553E-2"/>
          <c:y val="0.15396224726646673"/>
          <c:w val="0.89725460505219667"/>
          <c:h val="0.74222011129738985"/>
        </c:manualLayout>
      </c:layout>
      <c:barChart>
        <c:barDir val="col"/>
        <c:grouping val="clustered"/>
        <c:varyColors val="0"/>
        <c:ser>
          <c:idx val="0"/>
          <c:order val="0"/>
          <c:tx>
            <c:strRef>
              <c:f>Empleo!$B$5</c:f>
              <c:strCache>
                <c:ptCount val="1"/>
                <c:pt idx="0">
                  <c:v>Empleo Directo (%)</c:v>
                </c:pt>
              </c:strCache>
            </c:strRef>
          </c:tx>
          <c:spPr>
            <a:solidFill>
              <a:srgbClr val="A2344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Empleo!$A$20:$A$27</c:f>
              <c:strCache>
                <c:ptCount val="8"/>
                <c:pt idx="0">
                  <c:v>América Latina</c:v>
                </c:pt>
                <c:pt idx="1">
                  <c:v>APEC</c:v>
                </c:pt>
                <c:pt idx="2">
                  <c:v>Chile</c:v>
                </c:pt>
                <c:pt idx="3">
                  <c:v>Mundo</c:v>
                </c:pt>
                <c:pt idx="4">
                  <c:v>Europa</c:v>
                </c:pt>
                <c:pt idx="5">
                  <c:v>Americas</c:v>
                </c:pt>
                <c:pt idx="6">
                  <c:v>OECD</c:v>
                </c:pt>
                <c:pt idx="7">
                  <c:v>Alianza del Pacífico</c:v>
                </c:pt>
              </c:strCache>
            </c:strRef>
          </c:cat>
          <c:val>
            <c:numRef>
              <c:f>Empleo!$B$20:$B$27</c:f>
              <c:numCache>
                <c:formatCode>0.0%</c:formatCode>
                <c:ptCount val="8"/>
                <c:pt idx="0">
                  <c:v>2.9000000000000001E-2</c:v>
                </c:pt>
                <c:pt idx="1">
                  <c:v>3.2000000000000001E-2</c:v>
                </c:pt>
                <c:pt idx="2">
                  <c:v>3.4000000000000002E-2</c:v>
                </c:pt>
                <c:pt idx="3">
                  <c:v>3.5999999999999997E-2</c:v>
                </c:pt>
                <c:pt idx="4">
                  <c:v>3.5999999999999997E-2</c:v>
                </c:pt>
                <c:pt idx="5">
                  <c:v>3.7999999999999999E-2</c:v>
                </c:pt>
                <c:pt idx="6">
                  <c:v>4.2999999999999997E-2</c:v>
                </c:pt>
                <c:pt idx="7">
                  <c:v>5.1999999999999998E-2</c:v>
                </c:pt>
              </c:numCache>
            </c:numRef>
          </c:val>
        </c:ser>
        <c:ser>
          <c:idx val="1"/>
          <c:order val="1"/>
          <c:tx>
            <c:strRef>
              <c:f>Empleo!$C$5</c:f>
              <c:strCache>
                <c:ptCount val="1"/>
                <c:pt idx="0">
                  <c:v>Empleo Total (%)</c:v>
                </c:pt>
              </c:strCache>
            </c:strRef>
          </c:tx>
          <c:spPr>
            <a:solidFill>
              <a:schemeClr val="accent1"/>
            </a:solidFill>
            <a:ln>
              <a:noFill/>
            </a:ln>
            <a:effectLst/>
          </c:spPr>
          <c:invertIfNegative val="0"/>
          <c:dLbls>
            <c:dLbl>
              <c:idx val="2"/>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Empleo!$A$20:$A$27</c:f>
              <c:strCache>
                <c:ptCount val="8"/>
                <c:pt idx="0">
                  <c:v>América Latina</c:v>
                </c:pt>
                <c:pt idx="1">
                  <c:v>APEC</c:v>
                </c:pt>
                <c:pt idx="2">
                  <c:v>Chile</c:v>
                </c:pt>
                <c:pt idx="3">
                  <c:v>Mundo</c:v>
                </c:pt>
                <c:pt idx="4">
                  <c:v>Europa</c:v>
                </c:pt>
                <c:pt idx="5">
                  <c:v>Americas</c:v>
                </c:pt>
                <c:pt idx="6">
                  <c:v>OECD</c:v>
                </c:pt>
                <c:pt idx="7">
                  <c:v>Alianza del Pacífico</c:v>
                </c:pt>
              </c:strCache>
            </c:strRef>
          </c:cat>
          <c:val>
            <c:numRef>
              <c:f>Empleo!$C$20:$C$27</c:f>
              <c:numCache>
                <c:formatCode>0.0%</c:formatCode>
                <c:ptCount val="8"/>
                <c:pt idx="0">
                  <c:v>0.08</c:v>
                </c:pt>
                <c:pt idx="1">
                  <c:v>0.09</c:v>
                </c:pt>
                <c:pt idx="2">
                  <c:v>9.8000000000000004E-2</c:v>
                </c:pt>
                <c:pt idx="3">
                  <c:v>9.5000000000000001E-2</c:v>
                </c:pt>
                <c:pt idx="4">
                  <c:v>9.0999999999999998E-2</c:v>
                </c:pt>
                <c:pt idx="5">
                  <c:v>9.7000000000000003E-2</c:v>
                </c:pt>
                <c:pt idx="6">
                  <c:v>0.104</c:v>
                </c:pt>
                <c:pt idx="7">
                  <c:v>0.11899999999999999</c:v>
                </c:pt>
              </c:numCache>
            </c:numRef>
          </c:val>
        </c:ser>
        <c:dLbls>
          <c:showLegendKey val="0"/>
          <c:showVal val="0"/>
          <c:showCatName val="0"/>
          <c:showSerName val="0"/>
          <c:showPercent val="0"/>
          <c:showBubbleSize val="0"/>
        </c:dLbls>
        <c:gapWidth val="97"/>
        <c:axId val="400417704"/>
        <c:axId val="400418096"/>
      </c:barChart>
      <c:catAx>
        <c:axId val="400417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crossAx val="400418096"/>
        <c:crosses val="autoZero"/>
        <c:auto val="1"/>
        <c:lblAlgn val="ctr"/>
        <c:lblOffset val="100"/>
        <c:noMultiLvlLbl val="0"/>
      </c:catAx>
      <c:valAx>
        <c:axId val="40041809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1"/>
                </a:solidFill>
                <a:latin typeface="+mn-lt"/>
                <a:ea typeface="+mn-ea"/>
                <a:cs typeface="+mn-cs"/>
              </a:defRPr>
            </a:pPr>
            <a:endParaRPr lang="es-CL"/>
          </a:p>
        </c:txPr>
        <c:crossAx val="400417704"/>
        <c:crosses val="autoZero"/>
        <c:crossBetween val="between"/>
      </c:valAx>
      <c:spPr>
        <a:noFill/>
        <a:ln>
          <a:noFill/>
        </a:ln>
        <a:effectLst/>
      </c:spPr>
    </c:plotArea>
    <c:legend>
      <c:legendPos val="b"/>
      <c:layout>
        <c:manualLayout>
          <c:xMode val="edge"/>
          <c:yMode val="edge"/>
          <c:x val="0.18949726750648385"/>
          <c:y val="6.5666766713416744E-2"/>
          <c:w val="0.40231939430583319"/>
          <c:h val="6.187254568540083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s-C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Ocupados Hoteles y Restaurantes</a:t>
            </a:r>
          </a:p>
          <a:p>
            <a:pPr>
              <a:defRPr/>
            </a:pPr>
            <a:r>
              <a:rPr lang="es-CL"/>
              <a:t>trimestre móvil</a:t>
            </a:r>
            <a:r>
              <a:rPr lang="es-CL" baseline="0"/>
              <a:t> Febrero - Abril cada año</a:t>
            </a:r>
            <a:endParaRPr lang="es-C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1"/>
          <c:order val="1"/>
          <c:tx>
            <c:strRef>
              <c:f>Hoja4!$A$4</c:f>
              <c:strCache>
                <c:ptCount val="1"/>
                <c:pt idx="0">
                  <c:v>Variación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Hoja4!$B$2:$G$2</c:f>
              <c:numCache>
                <c:formatCode>General</c:formatCode>
                <c:ptCount val="6"/>
                <c:pt idx="0">
                  <c:v>2011</c:v>
                </c:pt>
                <c:pt idx="1">
                  <c:v>2012</c:v>
                </c:pt>
                <c:pt idx="2">
                  <c:v>2013</c:v>
                </c:pt>
                <c:pt idx="3">
                  <c:v>2014</c:v>
                </c:pt>
                <c:pt idx="4">
                  <c:v>2015</c:v>
                </c:pt>
                <c:pt idx="5">
                  <c:v>2016</c:v>
                </c:pt>
              </c:numCache>
            </c:numRef>
          </c:cat>
          <c:val>
            <c:numRef>
              <c:f>Hoja4!$B$4:$G$4</c:f>
              <c:numCache>
                <c:formatCode>0.0%</c:formatCode>
                <c:ptCount val="6"/>
                <c:pt idx="0">
                  <c:v>7.6542486324873371E-2</c:v>
                </c:pt>
                <c:pt idx="1">
                  <c:v>6.8350645200740079E-2</c:v>
                </c:pt>
                <c:pt idx="2">
                  <c:v>2.8809547547569814E-2</c:v>
                </c:pt>
                <c:pt idx="3">
                  <c:v>-3.255388259784997E-3</c:v>
                </c:pt>
                <c:pt idx="4">
                  <c:v>5.4910193440592225E-2</c:v>
                </c:pt>
                <c:pt idx="5">
                  <c:v>0.21360131350334699</c:v>
                </c:pt>
              </c:numCache>
            </c:numRef>
          </c:val>
        </c:ser>
        <c:dLbls>
          <c:showLegendKey val="0"/>
          <c:showVal val="0"/>
          <c:showCatName val="0"/>
          <c:showSerName val="0"/>
          <c:showPercent val="0"/>
          <c:showBubbleSize val="0"/>
        </c:dLbls>
        <c:gapWidth val="219"/>
        <c:axId val="400834728"/>
        <c:axId val="400834336"/>
      </c:barChart>
      <c:lineChart>
        <c:grouping val="standard"/>
        <c:varyColors val="0"/>
        <c:ser>
          <c:idx val="0"/>
          <c:order val="0"/>
          <c:tx>
            <c:strRef>
              <c:f>Hoja4!$A$3</c:f>
              <c:strCache>
                <c:ptCount val="1"/>
                <c:pt idx="0">
                  <c:v>Total</c:v>
                </c:pt>
              </c:strCache>
            </c:strRef>
          </c:tx>
          <c:spPr>
            <a:ln w="28575" cap="rnd">
              <a:solidFill>
                <a:schemeClr val="accent1"/>
              </a:solidFill>
              <a:round/>
            </a:ln>
            <a:effectLst/>
          </c:spPr>
          <c:marker>
            <c:symbol val="none"/>
          </c:marker>
          <c:cat>
            <c:numRef>
              <c:f>Hoja4!$B$2:$G$2</c:f>
              <c:numCache>
                <c:formatCode>General</c:formatCode>
                <c:ptCount val="6"/>
                <c:pt idx="0">
                  <c:v>2011</c:v>
                </c:pt>
                <c:pt idx="1">
                  <c:v>2012</c:v>
                </c:pt>
                <c:pt idx="2">
                  <c:v>2013</c:v>
                </c:pt>
                <c:pt idx="3">
                  <c:v>2014</c:v>
                </c:pt>
                <c:pt idx="4">
                  <c:v>2015</c:v>
                </c:pt>
                <c:pt idx="5">
                  <c:v>2016</c:v>
                </c:pt>
              </c:numCache>
            </c:numRef>
          </c:cat>
          <c:val>
            <c:numRef>
              <c:f>Hoja4!$B$3:$G$3</c:f>
              <c:numCache>
                <c:formatCode>#,##0</c:formatCode>
                <c:ptCount val="6"/>
                <c:pt idx="0">
                  <c:v>253487</c:v>
                </c:pt>
                <c:pt idx="1">
                  <c:v>270813</c:v>
                </c:pt>
                <c:pt idx="2">
                  <c:v>278615</c:v>
                </c:pt>
                <c:pt idx="3">
                  <c:v>277708</c:v>
                </c:pt>
                <c:pt idx="4">
                  <c:v>292957</c:v>
                </c:pt>
                <c:pt idx="5">
                  <c:v>355533</c:v>
                </c:pt>
              </c:numCache>
            </c:numRef>
          </c:val>
          <c:smooth val="0"/>
        </c:ser>
        <c:dLbls>
          <c:showLegendKey val="0"/>
          <c:showVal val="0"/>
          <c:showCatName val="0"/>
          <c:showSerName val="0"/>
          <c:showPercent val="0"/>
          <c:showBubbleSize val="0"/>
        </c:dLbls>
        <c:marker val="1"/>
        <c:smooth val="0"/>
        <c:axId val="400418880"/>
        <c:axId val="400419272"/>
      </c:lineChart>
      <c:catAx>
        <c:axId val="400418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400419272"/>
        <c:crosses val="autoZero"/>
        <c:auto val="1"/>
        <c:lblAlgn val="ctr"/>
        <c:lblOffset val="100"/>
        <c:noMultiLvlLbl val="0"/>
      </c:catAx>
      <c:valAx>
        <c:axId val="400419272"/>
        <c:scaling>
          <c:orientation val="minMax"/>
          <c:max val="450000"/>
          <c:min val="10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400418880"/>
        <c:crosses val="autoZero"/>
        <c:crossBetween val="between"/>
      </c:valAx>
      <c:valAx>
        <c:axId val="400834336"/>
        <c:scaling>
          <c:orientation val="minMax"/>
          <c:max val="0.25"/>
          <c:min val="-0.8"/>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400834728"/>
        <c:crosses val="max"/>
        <c:crossBetween val="between"/>
      </c:valAx>
      <c:catAx>
        <c:axId val="400834728"/>
        <c:scaling>
          <c:orientation val="minMax"/>
        </c:scaling>
        <c:delete val="1"/>
        <c:axPos val="b"/>
        <c:numFmt formatCode="General" sourceLinked="1"/>
        <c:majorTickMark val="out"/>
        <c:minorTickMark val="none"/>
        <c:tickLblPos val="nextTo"/>
        <c:crossAx val="40083433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Participación categoría Laboral</a:t>
            </a:r>
          </a:p>
          <a:p>
            <a:pPr>
              <a:defRPr/>
            </a:pPr>
            <a:r>
              <a:rPr lang="es-CL"/>
              <a:t>Hoteles y Restaurantes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lineChart>
        <c:grouping val="standard"/>
        <c:varyColors val="0"/>
        <c:ser>
          <c:idx val="0"/>
          <c:order val="0"/>
          <c:tx>
            <c:strRef>
              <c:f>Hoja3!$A$15</c:f>
              <c:strCache>
                <c:ptCount val="1"/>
                <c:pt idx="0">
                  <c:v>Total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Hoja3!$B$14:$BW$14</c:f>
              <c:strCache>
                <c:ptCount val="74"/>
                <c:pt idx="0">
                  <c:v>Ene - Mar 2010</c:v>
                </c:pt>
                <c:pt idx="1">
                  <c:v>Feb - Abr 2010</c:v>
                </c:pt>
                <c:pt idx="2">
                  <c:v>Mar - May 2010</c:v>
                </c:pt>
                <c:pt idx="3">
                  <c:v>Abr - Jun 2010</c:v>
                </c:pt>
                <c:pt idx="4">
                  <c:v>May - Jul 2010</c:v>
                </c:pt>
                <c:pt idx="5">
                  <c:v>Jun - Ago 2010</c:v>
                </c:pt>
                <c:pt idx="6">
                  <c:v>Jul - Sep 2010</c:v>
                </c:pt>
                <c:pt idx="7">
                  <c:v>Ago - Oct 2010</c:v>
                </c:pt>
                <c:pt idx="8">
                  <c:v>Sep - Nov 1010</c:v>
                </c:pt>
                <c:pt idx="9">
                  <c:v>Oct - Dic 2010</c:v>
                </c:pt>
                <c:pt idx="10">
                  <c:v>Nov 2010 - Ene 2011</c:v>
                </c:pt>
                <c:pt idx="11">
                  <c:v>Dic 2010 - Feb 2011</c:v>
                </c:pt>
                <c:pt idx="12">
                  <c:v>Ene - Mar 2011</c:v>
                </c:pt>
                <c:pt idx="13">
                  <c:v>Feb - Abr 2011</c:v>
                </c:pt>
                <c:pt idx="14">
                  <c:v>Mar - May 2011</c:v>
                </c:pt>
                <c:pt idx="15">
                  <c:v>Abr - Jun 2011</c:v>
                </c:pt>
                <c:pt idx="16">
                  <c:v>May - Jul 2011</c:v>
                </c:pt>
                <c:pt idx="17">
                  <c:v>Jun - Ago 2011</c:v>
                </c:pt>
                <c:pt idx="18">
                  <c:v>Jul - Sep 2011</c:v>
                </c:pt>
                <c:pt idx="19">
                  <c:v>Ago - Oct 2011</c:v>
                </c:pt>
                <c:pt idx="20">
                  <c:v>Sep - Nov 2011</c:v>
                </c:pt>
                <c:pt idx="21">
                  <c:v>Oct - Dic 2011</c:v>
                </c:pt>
                <c:pt idx="22">
                  <c:v>Nov 2011 - Ene 2012</c:v>
                </c:pt>
                <c:pt idx="23">
                  <c:v>Dic 2011 - Feb 2012</c:v>
                </c:pt>
                <c:pt idx="24">
                  <c:v>Ene - Mar 2012</c:v>
                </c:pt>
                <c:pt idx="25">
                  <c:v>Feb - Abr 2012</c:v>
                </c:pt>
                <c:pt idx="26">
                  <c:v>Mar - May 2012</c:v>
                </c:pt>
                <c:pt idx="27">
                  <c:v>Abr - Jun 2012</c:v>
                </c:pt>
                <c:pt idx="28">
                  <c:v>May - Jul 2012</c:v>
                </c:pt>
                <c:pt idx="29">
                  <c:v>Jun - Ago 2012</c:v>
                </c:pt>
                <c:pt idx="30">
                  <c:v>Jul - Sep 2012</c:v>
                </c:pt>
                <c:pt idx="31">
                  <c:v>Ago - Oct 2012</c:v>
                </c:pt>
                <c:pt idx="32">
                  <c:v>Sep - Nov 2012</c:v>
                </c:pt>
                <c:pt idx="33">
                  <c:v>Oct - Dic 2012</c:v>
                </c:pt>
                <c:pt idx="34">
                  <c:v>Nov 2012 - Ene 2013</c:v>
                </c:pt>
                <c:pt idx="35">
                  <c:v>Dic 2012 - Feb 2013</c:v>
                </c:pt>
                <c:pt idx="36">
                  <c:v>Ene - Mar 2013</c:v>
                </c:pt>
                <c:pt idx="37">
                  <c:v>Feb - Abr 2013</c:v>
                </c:pt>
                <c:pt idx="38">
                  <c:v>Mar - May 2013</c:v>
                </c:pt>
                <c:pt idx="39">
                  <c:v>Abr - Jun 2013</c:v>
                </c:pt>
                <c:pt idx="40">
                  <c:v>May - Jul 2013</c:v>
                </c:pt>
                <c:pt idx="41">
                  <c:v>Jun - Ago 2013</c:v>
                </c:pt>
                <c:pt idx="42">
                  <c:v>Jul - Sep 2013</c:v>
                </c:pt>
                <c:pt idx="43">
                  <c:v>Ago - Oct 2013</c:v>
                </c:pt>
                <c:pt idx="44">
                  <c:v>Sep - Nov 2013</c:v>
                </c:pt>
                <c:pt idx="45">
                  <c:v>Oct - Dic 2013</c:v>
                </c:pt>
                <c:pt idx="46">
                  <c:v>Nov 2013 - Ene 2014</c:v>
                </c:pt>
                <c:pt idx="47">
                  <c:v>Dic 2013 - Feb 2014</c:v>
                </c:pt>
                <c:pt idx="48">
                  <c:v>Ene - Mar 2014</c:v>
                </c:pt>
                <c:pt idx="49">
                  <c:v>Feb - Abr 2014</c:v>
                </c:pt>
                <c:pt idx="50">
                  <c:v>Mar - May 2014</c:v>
                </c:pt>
                <c:pt idx="51">
                  <c:v>Abr - Jun 2014</c:v>
                </c:pt>
                <c:pt idx="52">
                  <c:v>May - Jul 2014</c:v>
                </c:pt>
                <c:pt idx="53">
                  <c:v>Jun - Ago 2014</c:v>
                </c:pt>
                <c:pt idx="54">
                  <c:v>Jul - Sep 2014</c:v>
                </c:pt>
                <c:pt idx="55">
                  <c:v>Ago - Oct 2014</c:v>
                </c:pt>
                <c:pt idx="56">
                  <c:v>Sep - Nov 2014</c:v>
                </c:pt>
                <c:pt idx="57">
                  <c:v>Oct - Dic 2014</c:v>
                </c:pt>
                <c:pt idx="58">
                  <c:v>Nov 2014 - Ene 2015</c:v>
                </c:pt>
                <c:pt idx="59">
                  <c:v>Dic 2014 - Feb 2015</c:v>
                </c:pt>
                <c:pt idx="60">
                  <c:v>Ene - Mar 2015</c:v>
                </c:pt>
                <c:pt idx="61">
                  <c:v>Feb - Abr 2015</c:v>
                </c:pt>
                <c:pt idx="62">
                  <c:v>Mar - May 2015</c:v>
                </c:pt>
                <c:pt idx="63">
                  <c:v>Abr - Jun 2015</c:v>
                </c:pt>
                <c:pt idx="64">
                  <c:v>May - Jul 2015</c:v>
                </c:pt>
                <c:pt idx="65">
                  <c:v>Jun - Ago 2015</c:v>
                </c:pt>
                <c:pt idx="66">
                  <c:v>Jul - Sep 2015</c:v>
                </c:pt>
                <c:pt idx="67">
                  <c:v>Ago - Oct 2015</c:v>
                </c:pt>
                <c:pt idx="68">
                  <c:v>Sep - Nov 2015</c:v>
                </c:pt>
                <c:pt idx="69">
                  <c:v>Oct - Dic 2015</c:v>
                </c:pt>
                <c:pt idx="70">
                  <c:v>Nov 2015 - Ene 2016</c:v>
                </c:pt>
                <c:pt idx="71">
                  <c:v>Dic 2015 - Feb 2016</c:v>
                </c:pt>
                <c:pt idx="72">
                  <c:v>Ene - Mar 2016</c:v>
                </c:pt>
                <c:pt idx="73">
                  <c:v>Feb - Abr 2016</c:v>
                </c:pt>
              </c:strCache>
            </c:strRef>
          </c:cat>
          <c:val>
            <c:numRef>
              <c:f>Hoja3!$B$15:$BW$15</c:f>
            </c:numRef>
          </c:val>
          <c:smooth val="0"/>
        </c:ser>
        <c:ser>
          <c:idx val="1"/>
          <c:order val="1"/>
          <c:tx>
            <c:strRef>
              <c:f>Hoja3!$A$16</c:f>
              <c:strCache>
                <c:ptCount val="1"/>
                <c:pt idx="0">
                  <c:v>Empleador</c:v>
                </c:pt>
              </c:strCache>
            </c:strRef>
          </c:tx>
          <c:spPr>
            <a:ln w="28575" cap="rnd">
              <a:solidFill>
                <a:schemeClr val="accent2"/>
              </a:solidFill>
              <a:round/>
            </a:ln>
            <a:effectLst/>
          </c:spPr>
          <c:marker>
            <c:symbol val="none"/>
          </c:marker>
          <c:cat>
            <c:strRef>
              <c:f>Hoja3!$B$14:$BW$14</c:f>
              <c:strCache>
                <c:ptCount val="74"/>
                <c:pt idx="0">
                  <c:v>Ene - Mar 2010</c:v>
                </c:pt>
                <c:pt idx="1">
                  <c:v>Feb - Abr 2010</c:v>
                </c:pt>
                <c:pt idx="2">
                  <c:v>Mar - May 2010</c:v>
                </c:pt>
                <c:pt idx="3">
                  <c:v>Abr - Jun 2010</c:v>
                </c:pt>
                <c:pt idx="4">
                  <c:v>May - Jul 2010</c:v>
                </c:pt>
                <c:pt idx="5">
                  <c:v>Jun - Ago 2010</c:v>
                </c:pt>
                <c:pt idx="6">
                  <c:v>Jul - Sep 2010</c:v>
                </c:pt>
                <c:pt idx="7">
                  <c:v>Ago - Oct 2010</c:v>
                </c:pt>
                <c:pt idx="8">
                  <c:v>Sep - Nov 1010</c:v>
                </c:pt>
                <c:pt idx="9">
                  <c:v>Oct - Dic 2010</c:v>
                </c:pt>
                <c:pt idx="10">
                  <c:v>Nov 2010 - Ene 2011</c:v>
                </c:pt>
                <c:pt idx="11">
                  <c:v>Dic 2010 - Feb 2011</c:v>
                </c:pt>
                <c:pt idx="12">
                  <c:v>Ene - Mar 2011</c:v>
                </c:pt>
                <c:pt idx="13">
                  <c:v>Feb - Abr 2011</c:v>
                </c:pt>
                <c:pt idx="14">
                  <c:v>Mar - May 2011</c:v>
                </c:pt>
                <c:pt idx="15">
                  <c:v>Abr - Jun 2011</c:v>
                </c:pt>
                <c:pt idx="16">
                  <c:v>May - Jul 2011</c:v>
                </c:pt>
                <c:pt idx="17">
                  <c:v>Jun - Ago 2011</c:v>
                </c:pt>
                <c:pt idx="18">
                  <c:v>Jul - Sep 2011</c:v>
                </c:pt>
                <c:pt idx="19">
                  <c:v>Ago - Oct 2011</c:v>
                </c:pt>
                <c:pt idx="20">
                  <c:v>Sep - Nov 2011</c:v>
                </c:pt>
                <c:pt idx="21">
                  <c:v>Oct - Dic 2011</c:v>
                </c:pt>
                <c:pt idx="22">
                  <c:v>Nov 2011 - Ene 2012</c:v>
                </c:pt>
                <c:pt idx="23">
                  <c:v>Dic 2011 - Feb 2012</c:v>
                </c:pt>
                <c:pt idx="24">
                  <c:v>Ene - Mar 2012</c:v>
                </c:pt>
                <c:pt idx="25">
                  <c:v>Feb - Abr 2012</c:v>
                </c:pt>
                <c:pt idx="26">
                  <c:v>Mar - May 2012</c:v>
                </c:pt>
                <c:pt idx="27">
                  <c:v>Abr - Jun 2012</c:v>
                </c:pt>
                <c:pt idx="28">
                  <c:v>May - Jul 2012</c:v>
                </c:pt>
                <c:pt idx="29">
                  <c:v>Jun - Ago 2012</c:v>
                </c:pt>
                <c:pt idx="30">
                  <c:v>Jul - Sep 2012</c:v>
                </c:pt>
                <c:pt idx="31">
                  <c:v>Ago - Oct 2012</c:v>
                </c:pt>
                <c:pt idx="32">
                  <c:v>Sep - Nov 2012</c:v>
                </c:pt>
                <c:pt idx="33">
                  <c:v>Oct - Dic 2012</c:v>
                </c:pt>
                <c:pt idx="34">
                  <c:v>Nov 2012 - Ene 2013</c:v>
                </c:pt>
                <c:pt idx="35">
                  <c:v>Dic 2012 - Feb 2013</c:v>
                </c:pt>
                <c:pt idx="36">
                  <c:v>Ene - Mar 2013</c:v>
                </c:pt>
                <c:pt idx="37">
                  <c:v>Feb - Abr 2013</c:v>
                </c:pt>
                <c:pt idx="38">
                  <c:v>Mar - May 2013</c:v>
                </c:pt>
                <c:pt idx="39">
                  <c:v>Abr - Jun 2013</c:v>
                </c:pt>
                <c:pt idx="40">
                  <c:v>May - Jul 2013</c:v>
                </c:pt>
                <c:pt idx="41">
                  <c:v>Jun - Ago 2013</c:v>
                </c:pt>
                <c:pt idx="42">
                  <c:v>Jul - Sep 2013</c:v>
                </c:pt>
                <c:pt idx="43">
                  <c:v>Ago - Oct 2013</c:v>
                </c:pt>
                <c:pt idx="44">
                  <c:v>Sep - Nov 2013</c:v>
                </c:pt>
                <c:pt idx="45">
                  <c:v>Oct - Dic 2013</c:v>
                </c:pt>
                <c:pt idx="46">
                  <c:v>Nov 2013 - Ene 2014</c:v>
                </c:pt>
                <c:pt idx="47">
                  <c:v>Dic 2013 - Feb 2014</c:v>
                </c:pt>
                <c:pt idx="48">
                  <c:v>Ene - Mar 2014</c:v>
                </c:pt>
                <c:pt idx="49">
                  <c:v>Feb - Abr 2014</c:v>
                </c:pt>
                <c:pt idx="50">
                  <c:v>Mar - May 2014</c:v>
                </c:pt>
                <c:pt idx="51">
                  <c:v>Abr - Jun 2014</c:v>
                </c:pt>
                <c:pt idx="52">
                  <c:v>May - Jul 2014</c:v>
                </c:pt>
                <c:pt idx="53">
                  <c:v>Jun - Ago 2014</c:v>
                </c:pt>
                <c:pt idx="54">
                  <c:v>Jul - Sep 2014</c:v>
                </c:pt>
                <c:pt idx="55">
                  <c:v>Ago - Oct 2014</c:v>
                </c:pt>
                <c:pt idx="56">
                  <c:v>Sep - Nov 2014</c:v>
                </c:pt>
                <c:pt idx="57">
                  <c:v>Oct - Dic 2014</c:v>
                </c:pt>
                <c:pt idx="58">
                  <c:v>Nov 2014 - Ene 2015</c:v>
                </c:pt>
                <c:pt idx="59">
                  <c:v>Dic 2014 - Feb 2015</c:v>
                </c:pt>
                <c:pt idx="60">
                  <c:v>Ene - Mar 2015</c:v>
                </c:pt>
                <c:pt idx="61">
                  <c:v>Feb - Abr 2015</c:v>
                </c:pt>
                <c:pt idx="62">
                  <c:v>Mar - May 2015</c:v>
                </c:pt>
                <c:pt idx="63">
                  <c:v>Abr - Jun 2015</c:v>
                </c:pt>
                <c:pt idx="64">
                  <c:v>May - Jul 2015</c:v>
                </c:pt>
                <c:pt idx="65">
                  <c:v>Jun - Ago 2015</c:v>
                </c:pt>
                <c:pt idx="66">
                  <c:v>Jul - Sep 2015</c:v>
                </c:pt>
                <c:pt idx="67">
                  <c:v>Ago - Oct 2015</c:v>
                </c:pt>
                <c:pt idx="68">
                  <c:v>Sep - Nov 2015</c:v>
                </c:pt>
                <c:pt idx="69">
                  <c:v>Oct - Dic 2015</c:v>
                </c:pt>
                <c:pt idx="70">
                  <c:v>Nov 2015 - Ene 2016</c:v>
                </c:pt>
                <c:pt idx="71">
                  <c:v>Dic 2015 - Feb 2016</c:v>
                </c:pt>
                <c:pt idx="72">
                  <c:v>Ene - Mar 2016</c:v>
                </c:pt>
                <c:pt idx="73">
                  <c:v>Feb - Abr 2016</c:v>
                </c:pt>
              </c:strCache>
            </c:strRef>
          </c:cat>
          <c:val>
            <c:numRef>
              <c:f>Hoja3!$B$16:$BW$16</c:f>
              <c:numCache>
                <c:formatCode>0%</c:formatCode>
                <c:ptCount val="74"/>
                <c:pt idx="0">
                  <c:v>8.5328243888874847E-2</c:v>
                </c:pt>
                <c:pt idx="1">
                  <c:v>8.4560697176638472E-2</c:v>
                </c:pt>
                <c:pt idx="2">
                  <c:v>8.1244363124803112E-2</c:v>
                </c:pt>
                <c:pt idx="3">
                  <c:v>8.4572408661546417E-2</c:v>
                </c:pt>
                <c:pt idx="4">
                  <c:v>9.4954425972075235E-2</c:v>
                </c:pt>
                <c:pt idx="5">
                  <c:v>9.777076880736349E-2</c:v>
                </c:pt>
                <c:pt idx="6">
                  <c:v>9.5603427696512214E-2</c:v>
                </c:pt>
                <c:pt idx="7">
                  <c:v>9.5747731672149949E-2</c:v>
                </c:pt>
                <c:pt idx="8">
                  <c:v>9.5513844776752233E-2</c:v>
                </c:pt>
                <c:pt idx="9">
                  <c:v>9.8051691782311393E-2</c:v>
                </c:pt>
                <c:pt idx="10">
                  <c:v>0.12028875438233105</c:v>
                </c:pt>
                <c:pt idx="11">
                  <c:v>0.12429878836710805</c:v>
                </c:pt>
                <c:pt idx="12">
                  <c:v>0.1270570078132536</c:v>
                </c:pt>
                <c:pt idx="13">
                  <c:v>0.12296488577323492</c:v>
                </c:pt>
                <c:pt idx="14">
                  <c:v>0.12687225729849416</c:v>
                </c:pt>
                <c:pt idx="15">
                  <c:v>0.12908429530308535</c:v>
                </c:pt>
                <c:pt idx="16">
                  <c:v>0.10847113908985562</c:v>
                </c:pt>
                <c:pt idx="17">
                  <c:v>0.1025956204943855</c:v>
                </c:pt>
                <c:pt idx="18">
                  <c:v>0.10545830552158128</c:v>
                </c:pt>
                <c:pt idx="19">
                  <c:v>9.9443109069706562E-2</c:v>
                </c:pt>
                <c:pt idx="20">
                  <c:v>9.5167397183623992E-2</c:v>
                </c:pt>
                <c:pt idx="21">
                  <c:v>8.4197045066448886E-2</c:v>
                </c:pt>
                <c:pt idx="22">
                  <c:v>9.2643337051919405E-2</c:v>
                </c:pt>
                <c:pt idx="23">
                  <c:v>9.5812757707518209E-2</c:v>
                </c:pt>
                <c:pt idx="24">
                  <c:v>9.2620989784110347E-2</c:v>
                </c:pt>
                <c:pt idx="25">
                  <c:v>8.5490726072972867E-2</c:v>
                </c:pt>
                <c:pt idx="26">
                  <c:v>8.4503244940011935E-2</c:v>
                </c:pt>
                <c:pt idx="27">
                  <c:v>7.6015435058996716E-2</c:v>
                </c:pt>
                <c:pt idx="28">
                  <c:v>7.4839817916344586E-2</c:v>
                </c:pt>
                <c:pt idx="29">
                  <c:v>7.0710664726750069E-2</c:v>
                </c:pt>
                <c:pt idx="30">
                  <c:v>7.5541441066222403E-2</c:v>
                </c:pt>
                <c:pt idx="31">
                  <c:v>7.2013239701212151E-2</c:v>
                </c:pt>
                <c:pt idx="32">
                  <c:v>8.5484386388851988E-2</c:v>
                </c:pt>
                <c:pt idx="33">
                  <c:v>0.11114793984379132</c:v>
                </c:pt>
                <c:pt idx="34">
                  <c:v>9.7499796665311098E-2</c:v>
                </c:pt>
                <c:pt idx="35">
                  <c:v>8.7843656210822241E-2</c:v>
                </c:pt>
                <c:pt idx="36">
                  <c:v>6.7397443716687433E-2</c:v>
                </c:pt>
                <c:pt idx="37">
                  <c:v>8.7227895124095969E-2</c:v>
                </c:pt>
                <c:pt idx="38">
                  <c:v>9.0909758803347215E-2</c:v>
                </c:pt>
                <c:pt idx="39">
                  <c:v>8.8301501558845016E-2</c:v>
                </c:pt>
                <c:pt idx="40">
                  <c:v>7.4621514944020417E-2</c:v>
                </c:pt>
                <c:pt idx="41">
                  <c:v>7.4890341526356971E-2</c:v>
                </c:pt>
                <c:pt idx="42">
                  <c:v>7.3393403667438933E-2</c:v>
                </c:pt>
                <c:pt idx="43">
                  <c:v>7.285797479904893E-2</c:v>
                </c:pt>
                <c:pt idx="44">
                  <c:v>7.6570490469549043E-2</c:v>
                </c:pt>
                <c:pt idx="45">
                  <c:v>8.4726062054956253E-2</c:v>
                </c:pt>
                <c:pt idx="46">
                  <c:v>8.5380299138952176E-2</c:v>
                </c:pt>
                <c:pt idx="47">
                  <c:v>8.4594710777306736E-2</c:v>
                </c:pt>
                <c:pt idx="48">
                  <c:v>8.2323763610904044E-2</c:v>
                </c:pt>
                <c:pt idx="49">
                  <c:v>8.5985999683120401E-2</c:v>
                </c:pt>
                <c:pt idx="50">
                  <c:v>7.6853941106202237E-2</c:v>
                </c:pt>
                <c:pt idx="51">
                  <c:v>8.2232178524152294E-2</c:v>
                </c:pt>
                <c:pt idx="52">
                  <c:v>9.344518741181522E-2</c:v>
                </c:pt>
                <c:pt idx="53">
                  <c:v>9.2840498569038046E-2</c:v>
                </c:pt>
                <c:pt idx="54">
                  <c:v>9.0214208433187726E-2</c:v>
                </c:pt>
                <c:pt idx="55">
                  <c:v>8.6493903972296657E-2</c:v>
                </c:pt>
                <c:pt idx="56">
                  <c:v>7.9906434199058143E-2</c:v>
                </c:pt>
                <c:pt idx="57">
                  <c:v>7.9800124834803102E-2</c:v>
                </c:pt>
                <c:pt idx="58">
                  <c:v>8.0151872304914898E-2</c:v>
                </c:pt>
                <c:pt idx="59">
                  <c:v>9.8337510707827022E-2</c:v>
                </c:pt>
                <c:pt idx="60">
                  <c:v>9.560334726961911E-2</c:v>
                </c:pt>
                <c:pt idx="61">
                  <c:v>9.1518550503998874E-2</c:v>
                </c:pt>
                <c:pt idx="62">
                  <c:v>7.4600956856767861E-2</c:v>
                </c:pt>
                <c:pt idx="63">
                  <c:v>7.6271551414748992E-2</c:v>
                </c:pt>
                <c:pt idx="64">
                  <c:v>9.0651234706690148E-2</c:v>
                </c:pt>
                <c:pt idx="65">
                  <c:v>8.7635853163037597E-2</c:v>
                </c:pt>
                <c:pt idx="66">
                  <c:v>8.007495996893782E-2</c:v>
                </c:pt>
                <c:pt idx="67">
                  <c:v>8.3087625468684465E-2</c:v>
                </c:pt>
                <c:pt idx="68">
                  <c:v>8.4962900909526087E-2</c:v>
                </c:pt>
                <c:pt idx="69">
                  <c:v>8.1131848646049345E-2</c:v>
                </c:pt>
                <c:pt idx="70">
                  <c:v>7.0541007219467725E-2</c:v>
                </c:pt>
                <c:pt idx="71">
                  <c:v>7.3427876477532961E-2</c:v>
                </c:pt>
                <c:pt idx="72">
                  <c:v>7.3468694434779269E-2</c:v>
                </c:pt>
                <c:pt idx="73">
                  <c:v>8.3311535075506357E-2</c:v>
                </c:pt>
              </c:numCache>
            </c:numRef>
          </c:val>
          <c:smooth val="0"/>
        </c:ser>
        <c:ser>
          <c:idx val="2"/>
          <c:order val="2"/>
          <c:tx>
            <c:strRef>
              <c:f>Hoja3!$A$17</c:f>
              <c:strCache>
                <c:ptCount val="1"/>
                <c:pt idx="0">
                  <c:v>Cuenta propia</c:v>
                </c:pt>
              </c:strCache>
            </c:strRef>
          </c:tx>
          <c:spPr>
            <a:ln w="28575" cap="rnd">
              <a:solidFill>
                <a:schemeClr val="accent3"/>
              </a:solidFill>
              <a:round/>
            </a:ln>
            <a:effectLst/>
          </c:spPr>
          <c:marker>
            <c:symbol val="none"/>
          </c:marker>
          <c:cat>
            <c:strRef>
              <c:f>Hoja3!$B$14:$BW$14</c:f>
              <c:strCache>
                <c:ptCount val="74"/>
                <c:pt idx="0">
                  <c:v>Ene - Mar 2010</c:v>
                </c:pt>
                <c:pt idx="1">
                  <c:v>Feb - Abr 2010</c:v>
                </c:pt>
                <c:pt idx="2">
                  <c:v>Mar - May 2010</c:v>
                </c:pt>
                <c:pt idx="3">
                  <c:v>Abr - Jun 2010</c:v>
                </c:pt>
                <c:pt idx="4">
                  <c:v>May - Jul 2010</c:v>
                </c:pt>
                <c:pt idx="5">
                  <c:v>Jun - Ago 2010</c:v>
                </c:pt>
                <c:pt idx="6">
                  <c:v>Jul - Sep 2010</c:v>
                </c:pt>
                <c:pt idx="7">
                  <c:v>Ago - Oct 2010</c:v>
                </c:pt>
                <c:pt idx="8">
                  <c:v>Sep - Nov 1010</c:v>
                </c:pt>
                <c:pt idx="9">
                  <c:v>Oct - Dic 2010</c:v>
                </c:pt>
                <c:pt idx="10">
                  <c:v>Nov 2010 - Ene 2011</c:v>
                </c:pt>
                <c:pt idx="11">
                  <c:v>Dic 2010 - Feb 2011</c:v>
                </c:pt>
                <c:pt idx="12">
                  <c:v>Ene - Mar 2011</c:v>
                </c:pt>
                <c:pt idx="13">
                  <c:v>Feb - Abr 2011</c:v>
                </c:pt>
                <c:pt idx="14">
                  <c:v>Mar - May 2011</c:v>
                </c:pt>
                <c:pt idx="15">
                  <c:v>Abr - Jun 2011</c:v>
                </c:pt>
                <c:pt idx="16">
                  <c:v>May - Jul 2011</c:v>
                </c:pt>
                <c:pt idx="17">
                  <c:v>Jun - Ago 2011</c:v>
                </c:pt>
                <c:pt idx="18">
                  <c:v>Jul - Sep 2011</c:v>
                </c:pt>
                <c:pt idx="19">
                  <c:v>Ago - Oct 2011</c:v>
                </c:pt>
                <c:pt idx="20">
                  <c:v>Sep - Nov 2011</c:v>
                </c:pt>
                <c:pt idx="21">
                  <c:v>Oct - Dic 2011</c:v>
                </c:pt>
                <c:pt idx="22">
                  <c:v>Nov 2011 - Ene 2012</c:v>
                </c:pt>
                <c:pt idx="23">
                  <c:v>Dic 2011 - Feb 2012</c:v>
                </c:pt>
                <c:pt idx="24">
                  <c:v>Ene - Mar 2012</c:v>
                </c:pt>
                <c:pt idx="25">
                  <c:v>Feb - Abr 2012</c:v>
                </c:pt>
                <c:pt idx="26">
                  <c:v>Mar - May 2012</c:v>
                </c:pt>
                <c:pt idx="27">
                  <c:v>Abr - Jun 2012</c:v>
                </c:pt>
                <c:pt idx="28">
                  <c:v>May - Jul 2012</c:v>
                </c:pt>
                <c:pt idx="29">
                  <c:v>Jun - Ago 2012</c:v>
                </c:pt>
                <c:pt idx="30">
                  <c:v>Jul - Sep 2012</c:v>
                </c:pt>
                <c:pt idx="31">
                  <c:v>Ago - Oct 2012</c:v>
                </c:pt>
                <c:pt idx="32">
                  <c:v>Sep - Nov 2012</c:v>
                </c:pt>
                <c:pt idx="33">
                  <c:v>Oct - Dic 2012</c:v>
                </c:pt>
                <c:pt idx="34">
                  <c:v>Nov 2012 - Ene 2013</c:v>
                </c:pt>
                <c:pt idx="35">
                  <c:v>Dic 2012 - Feb 2013</c:v>
                </c:pt>
                <c:pt idx="36">
                  <c:v>Ene - Mar 2013</c:v>
                </c:pt>
                <c:pt idx="37">
                  <c:v>Feb - Abr 2013</c:v>
                </c:pt>
                <c:pt idx="38">
                  <c:v>Mar - May 2013</c:v>
                </c:pt>
                <c:pt idx="39">
                  <c:v>Abr - Jun 2013</c:v>
                </c:pt>
                <c:pt idx="40">
                  <c:v>May - Jul 2013</c:v>
                </c:pt>
                <c:pt idx="41">
                  <c:v>Jun - Ago 2013</c:v>
                </c:pt>
                <c:pt idx="42">
                  <c:v>Jul - Sep 2013</c:v>
                </c:pt>
                <c:pt idx="43">
                  <c:v>Ago - Oct 2013</c:v>
                </c:pt>
                <c:pt idx="44">
                  <c:v>Sep - Nov 2013</c:v>
                </c:pt>
                <c:pt idx="45">
                  <c:v>Oct - Dic 2013</c:v>
                </c:pt>
                <c:pt idx="46">
                  <c:v>Nov 2013 - Ene 2014</c:v>
                </c:pt>
                <c:pt idx="47">
                  <c:v>Dic 2013 - Feb 2014</c:v>
                </c:pt>
                <c:pt idx="48">
                  <c:v>Ene - Mar 2014</c:v>
                </c:pt>
                <c:pt idx="49">
                  <c:v>Feb - Abr 2014</c:v>
                </c:pt>
                <c:pt idx="50">
                  <c:v>Mar - May 2014</c:v>
                </c:pt>
                <c:pt idx="51">
                  <c:v>Abr - Jun 2014</c:v>
                </c:pt>
                <c:pt idx="52">
                  <c:v>May - Jul 2014</c:v>
                </c:pt>
                <c:pt idx="53">
                  <c:v>Jun - Ago 2014</c:v>
                </c:pt>
                <c:pt idx="54">
                  <c:v>Jul - Sep 2014</c:v>
                </c:pt>
                <c:pt idx="55">
                  <c:v>Ago - Oct 2014</c:v>
                </c:pt>
                <c:pt idx="56">
                  <c:v>Sep - Nov 2014</c:v>
                </c:pt>
                <c:pt idx="57">
                  <c:v>Oct - Dic 2014</c:v>
                </c:pt>
                <c:pt idx="58">
                  <c:v>Nov 2014 - Ene 2015</c:v>
                </c:pt>
                <c:pt idx="59">
                  <c:v>Dic 2014 - Feb 2015</c:v>
                </c:pt>
                <c:pt idx="60">
                  <c:v>Ene - Mar 2015</c:v>
                </c:pt>
                <c:pt idx="61">
                  <c:v>Feb - Abr 2015</c:v>
                </c:pt>
                <c:pt idx="62">
                  <c:v>Mar - May 2015</c:v>
                </c:pt>
                <c:pt idx="63">
                  <c:v>Abr - Jun 2015</c:v>
                </c:pt>
                <c:pt idx="64">
                  <c:v>May - Jul 2015</c:v>
                </c:pt>
                <c:pt idx="65">
                  <c:v>Jun - Ago 2015</c:v>
                </c:pt>
                <c:pt idx="66">
                  <c:v>Jul - Sep 2015</c:v>
                </c:pt>
                <c:pt idx="67">
                  <c:v>Ago - Oct 2015</c:v>
                </c:pt>
                <c:pt idx="68">
                  <c:v>Sep - Nov 2015</c:v>
                </c:pt>
                <c:pt idx="69">
                  <c:v>Oct - Dic 2015</c:v>
                </c:pt>
                <c:pt idx="70">
                  <c:v>Nov 2015 - Ene 2016</c:v>
                </c:pt>
                <c:pt idx="71">
                  <c:v>Dic 2015 - Feb 2016</c:v>
                </c:pt>
                <c:pt idx="72">
                  <c:v>Ene - Mar 2016</c:v>
                </c:pt>
                <c:pt idx="73">
                  <c:v>Feb - Abr 2016</c:v>
                </c:pt>
              </c:strCache>
            </c:strRef>
          </c:cat>
          <c:val>
            <c:numRef>
              <c:f>Hoja3!$B$17:$BW$17</c:f>
              <c:numCache>
                <c:formatCode>0%</c:formatCode>
                <c:ptCount val="74"/>
                <c:pt idx="0">
                  <c:v>0.10992441669405192</c:v>
                </c:pt>
                <c:pt idx="1">
                  <c:v>0.12423555193150546</c:v>
                </c:pt>
                <c:pt idx="2">
                  <c:v>0.1322599716052526</c:v>
                </c:pt>
                <c:pt idx="3">
                  <c:v>0.14073121208681724</c:v>
                </c:pt>
                <c:pt idx="4">
                  <c:v>0.1290922746048544</c:v>
                </c:pt>
                <c:pt idx="5">
                  <c:v>0.14593753958927627</c:v>
                </c:pt>
                <c:pt idx="6">
                  <c:v>0.15709864093973544</c:v>
                </c:pt>
                <c:pt idx="7">
                  <c:v>0.14894888196729147</c:v>
                </c:pt>
                <c:pt idx="8">
                  <c:v>0.1288606571214328</c:v>
                </c:pt>
                <c:pt idx="9">
                  <c:v>0.10548973493665381</c:v>
                </c:pt>
                <c:pt idx="10">
                  <c:v>0.11207260285532362</c:v>
                </c:pt>
                <c:pt idx="11">
                  <c:v>0.12064260630292342</c:v>
                </c:pt>
                <c:pt idx="12">
                  <c:v>0.13809973955821356</c:v>
                </c:pt>
                <c:pt idx="13">
                  <c:v>0.14756575287884585</c:v>
                </c:pt>
                <c:pt idx="14">
                  <c:v>0.14302160466590186</c:v>
                </c:pt>
                <c:pt idx="15">
                  <c:v>0.13958177774405947</c:v>
                </c:pt>
                <c:pt idx="16">
                  <c:v>0.14057753139778884</c:v>
                </c:pt>
                <c:pt idx="17">
                  <c:v>0.14172899634719083</c:v>
                </c:pt>
                <c:pt idx="18">
                  <c:v>0.14284115856364035</c:v>
                </c:pt>
                <c:pt idx="19">
                  <c:v>0.135732248109982</c:v>
                </c:pt>
                <c:pt idx="20">
                  <c:v>0.14148652429357456</c:v>
                </c:pt>
                <c:pt idx="21">
                  <c:v>0.14313980250946617</c:v>
                </c:pt>
                <c:pt idx="22">
                  <c:v>0.14238574373526555</c:v>
                </c:pt>
                <c:pt idx="23">
                  <c:v>0.14157318366687505</c:v>
                </c:pt>
                <c:pt idx="24">
                  <c:v>0.1315393407591989</c:v>
                </c:pt>
                <c:pt idx="25">
                  <c:v>0.14061363376204244</c:v>
                </c:pt>
                <c:pt idx="26">
                  <c:v>0.12017640148670249</c:v>
                </c:pt>
                <c:pt idx="27">
                  <c:v>0.14704198544227096</c:v>
                </c:pt>
                <c:pt idx="28">
                  <c:v>0.14471184402645365</c:v>
                </c:pt>
                <c:pt idx="29">
                  <c:v>0.17156284237707892</c:v>
                </c:pt>
                <c:pt idx="30">
                  <c:v>0.16027002637789811</c:v>
                </c:pt>
                <c:pt idx="31">
                  <c:v>0.14619582233752293</c:v>
                </c:pt>
                <c:pt idx="32">
                  <c:v>0.13314925657164811</c:v>
                </c:pt>
                <c:pt idx="33">
                  <c:v>0.11637017577883954</c:v>
                </c:pt>
                <c:pt idx="34">
                  <c:v>0.13589589263928425</c:v>
                </c:pt>
                <c:pt idx="35">
                  <c:v>0.14981257993845531</c:v>
                </c:pt>
                <c:pt idx="36">
                  <c:v>0.16755389674100396</c:v>
                </c:pt>
                <c:pt idx="37">
                  <c:v>0.15867774527573891</c:v>
                </c:pt>
                <c:pt idx="38">
                  <c:v>0.15685863951275777</c:v>
                </c:pt>
                <c:pt idx="39">
                  <c:v>0.15545118373072558</c:v>
                </c:pt>
                <c:pt idx="40">
                  <c:v>0.15516542924847906</c:v>
                </c:pt>
                <c:pt idx="41">
                  <c:v>0.16494562496987406</c:v>
                </c:pt>
                <c:pt idx="42">
                  <c:v>0.19548765930228668</c:v>
                </c:pt>
                <c:pt idx="43">
                  <c:v>0.19185216233359176</c:v>
                </c:pt>
                <c:pt idx="44">
                  <c:v>0.16621266271501628</c:v>
                </c:pt>
                <c:pt idx="45">
                  <c:v>0.14063565629972941</c:v>
                </c:pt>
                <c:pt idx="46">
                  <c:v>0.16566386171072126</c:v>
                </c:pt>
                <c:pt idx="47">
                  <c:v>0.17585774248678043</c:v>
                </c:pt>
                <c:pt idx="48">
                  <c:v>0.18419915983363869</c:v>
                </c:pt>
                <c:pt idx="49">
                  <c:v>0.1667002751091074</c:v>
                </c:pt>
                <c:pt idx="50">
                  <c:v>0.16262348546616356</c:v>
                </c:pt>
                <c:pt idx="51">
                  <c:v>0.14947638032725249</c:v>
                </c:pt>
                <c:pt idx="52">
                  <c:v>0.15212640328814184</c:v>
                </c:pt>
                <c:pt idx="53">
                  <c:v>0.15821903883145927</c:v>
                </c:pt>
                <c:pt idx="54">
                  <c:v>0.1696422966570782</c:v>
                </c:pt>
                <c:pt idx="55">
                  <c:v>0.17957238000129322</c:v>
                </c:pt>
                <c:pt idx="56">
                  <c:v>0.16213478849512708</c:v>
                </c:pt>
                <c:pt idx="57">
                  <c:v>0.14515358516488305</c:v>
                </c:pt>
                <c:pt idx="58">
                  <c:v>0.12649819302544393</c:v>
                </c:pt>
                <c:pt idx="59">
                  <c:v>0.14000444176528443</c:v>
                </c:pt>
                <c:pt idx="60">
                  <c:v>0.14401966873043212</c:v>
                </c:pt>
                <c:pt idx="61">
                  <c:v>0.15286202411958069</c:v>
                </c:pt>
                <c:pt idx="62">
                  <c:v>0.15340051088812678</c:v>
                </c:pt>
                <c:pt idx="63">
                  <c:v>0.15428372500323001</c:v>
                </c:pt>
                <c:pt idx="64">
                  <c:v>0.15341909462913833</c:v>
                </c:pt>
                <c:pt idx="65">
                  <c:v>0.17142935980436455</c:v>
                </c:pt>
                <c:pt idx="66">
                  <c:v>0.18109121947932344</c:v>
                </c:pt>
                <c:pt idx="67">
                  <c:v>0.17502388753464876</c:v>
                </c:pt>
                <c:pt idx="68">
                  <c:v>0.18879248444231689</c:v>
                </c:pt>
                <c:pt idx="69">
                  <c:v>0.18980554804195593</c:v>
                </c:pt>
                <c:pt idx="70">
                  <c:v>0.19896338844592995</c:v>
                </c:pt>
                <c:pt idx="71">
                  <c:v>0.1795200773793437</c:v>
                </c:pt>
                <c:pt idx="72">
                  <c:v>0.19916492921898415</c:v>
                </c:pt>
                <c:pt idx="73">
                  <c:v>0.19602399777235868</c:v>
                </c:pt>
              </c:numCache>
            </c:numRef>
          </c:val>
          <c:smooth val="0"/>
        </c:ser>
        <c:ser>
          <c:idx val="3"/>
          <c:order val="3"/>
          <c:tx>
            <c:strRef>
              <c:f>Hoja3!$A$18</c:f>
              <c:strCache>
                <c:ptCount val="1"/>
                <c:pt idx="0">
                  <c:v>Asalariado sector privado</c:v>
                </c:pt>
              </c:strCache>
            </c:strRef>
          </c:tx>
          <c:spPr>
            <a:ln w="28575" cap="rnd">
              <a:solidFill>
                <a:schemeClr val="accent4"/>
              </a:solidFill>
              <a:round/>
            </a:ln>
            <a:effectLst/>
          </c:spPr>
          <c:marker>
            <c:symbol val="none"/>
          </c:marker>
          <c:cat>
            <c:strRef>
              <c:f>Hoja3!$B$14:$BW$14</c:f>
              <c:strCache>
                <c:ptCount val="74"/>
                <c:pt idx="0">
                  <c:v>Ene - Mar 2010</c:v>
                </c:pt>
                <c:pt idx="1">
                  <c:v>Feb - Abr 2010</c:v>
                </c:pt>
                <c:pt idx="2">
                  <c:v>Mar - May 2010</c:v>
                </c:pt>
                <c:pt idx="3">
                  <c:v>Abr - Jun 2010</c:v>
                </c:pt>
                <c:pt idx="4">
                  <c:v>May - Jul 2010</c:v>
                </c:pt>
                <c:pt idx="5">
                  <c:v>Jun - Ago 2010</c:v>
                </c:pt>
                <c:pt idx="6">
                  <c:v>Jul - Sep 2010</c:v>
                </c:pt>
                <c:pt idx="7">
                  <c:v>Ago - Oct 2010</c:v>
                </c:pt>
                <c:pt idx="8">
                  <c:v>Sep - Nov 1010</c:v>
                </c:pt>
                <c:pt idx="9">
                  <c:v>Oct - Dic 2010</c:v>
                </c:pt>
                <c:pt idx="10">
                  <c:v>Nov 2010 - Ene 2011</c:v>
                </c:pt>
                <c:pt idx="11">
                  <c:v>Dic 2010 - Feb 2011</c:v>
                </c:pt>
                <c:pt idx="12">
                  <c:v>Ene - Mar 2011</c:v>
                </c:pt>
                <c:pt idx="13">
                  <c:v>Feb - Abr 2011</c:v>
                </c:pt>
                <c:pt idx="14">
                  <c:v>Mar - May 2011</c:v>
                </c:pt>
                <c:pt idx="15">
                  <c:v>Abr - Jun 2011</c:v>
                </c:pt>
                <c:pt idx="16">
                  <c:v>May - Jul 2011</c:v>
                </c:pt>
                <c:pt idx="17">
                  <c:v>Jun - Ago 2011</c:v>
                </c:pt>
                <c:pt idx="18">
                  <c:v>Jul - Sep 2011</c:v>
                </c:pt>
                <c:pt idx="19">
                  <c:v>Ago - Oct 2011</c:v>
                </c:pt>
                <c:pt idx="20">
                  <c:v>Sep - Nov 2011</c:v>
                </c:pt>
                <c:pt idx="21">
                  <c:v>Oct - Dic 2011</c:v>
                </c:pt>
                <c:pt idx="22">
                  <c:v>Nov 2011 - Ene 2012</c:v>
                </c:pt>
                <c:pt idx="23">
                  <c:v>Dic 2011 - Feb 2012</c:v>
                </c:pt>
                <c:pt idx="24">
                  <c:v>Ene - Mar 2012</c:v>
                </c:pt>
                <c:pt idx="25">
                  <c:v>Feb - Abr 2012</c:v>
                </c:pt>
                <c:pt idx="26">
                  <c:v>Mar - May 2012</c:v>
                </c:pt>
                <c:pt idx="27">
                  <c:v>Abr - Jun 2012</c:v>
                </c:pt>
                <c:pt idx="28">
                  <c:v>May - Jul 2012</c:v>
                </c:pt>
                <c:pt idx="29">
                  <c:v>Jun - Ago 2012</c:v>
                </c:pt>
                <c:pt idx="30">
                  <c:v>Jul - Sep 2012</c:v>
                </c:pt>
                <c:pt idx="31">
                  <c:v>Ago - Oct 2012</c:v>
                </c:pt>
                <c:pt idx="32">
                  <c:v>Sep - Nov 2012</c:v>
                </c:pt>
                <c:pt idx="33">
                  <c:v>Oct - Dic 2012</c:v>
                </c:pt>
                <c:pt idx="34">
                  <c:v>Nov 2012 - Ene 2013</c:v>
                </c:pt>
                <c:pt idx="35">
                  <c:v>Dic 2012 - Feb 2013</c:v>
                </c:pt>
                <c:pt idx="36">
                  <c:v>Ene - Mar 2013</c:v>
                </c:pt>
                <c:pt idx="37">
                  <c:v>Feb - Abr 2013</c:v>
                </c:pt>
                <c:pt idx="38">
                  <c:v>Mar - May 2013</c:v>
                </c:pt>
                <c:pt idx="39">
                  <c:v>Abr - Jun 2013</c:v>
                </c:pt>
                <c:pt idx="40">
                  <c:v>May - Jul 2013</c:v>
                </c:pt>
                <c:pt idx="41">
                  <c:v>Jun - Ago 2013</c:v>
                </c:pt>
                <c:pt idx="42">
                  <c:v>Jul - Sep 2013</c:v>
                </c:pt>
                <c:pt idx="43">
                  <c:v>Ago - Oct 2013</c:v>
                </c:pt>
                <c:pt idx="44">
                  <c:v>Sep - Nov 2013</c:v>
                </c:pt>
                <c:pt idx="45">
                  <c:v>Oct - Dic 2013</c:v>
                </c:pt>
                <c:pt idx="46">
                  <c:v>Nov 2013 - Ene 2014</c:v>
                </c:pt>
                <c:pt idx="47">
                  <c:v>Dic 2013 - Feb 2014</c:v>
                </c:pt>
                <c:pt idx="48">
                  <c:v>Ene - Mar 2014</c:v>
                </c:pt>
                <c:pt idx="49">
                  <c:v>Feb - Abr 2014</c:v>
                </c:pt>
                <c:pt idx="50">
                  <c:v>Mar - May 2014</c:v>
                </c:pt>
                <c:pt idx="51">
                  <c:v>Abr - Jun 2014</c:v>
                </c:pt>
                <c:pt idx="52">
                  <c:v>May - Jul 2014</c:v>
                </c:pt>
                <c:pt idx="53">
                  <c:v>Jun - Ago 2014</c:v>
                </c:pt>
                <c:pt idx="54">
                  <c:v>Jul - Sep 2014</c:v>
                </c:pt>
                <c:pt idx="55">
                  <c:v>Ago - Oct 2014</c:v>
                </c:pt>
                <c:pt idx="56">
                  <c:v>Sep - Nov 2014</c:v>
                </c:pt>
                <c:pt idx="57">
                  <c:v>Oct - Dic 2014</c:v>
                </c:pt>
                <c:pt idx="58">
                  <c:v>Nov 2014 - Ene 2015</c:v>
                </c:pt>
                <c:pt idx="59">
                  <c:v>Dic 2014 - Feb 2015</c:v>
                </c:pt>
                <c:pt idx="60">
                  <c:v>Ene - Mar 2015</c:v>
                </c:pt>
                <c:pt idx="61">
                  <c:v>Feb - Abr 2015</c:v>
                </c:pt>
                <c:pt idx="62">
                  <c:v>Mar - May 2015</c:v>
                </c:pt>
                <c:pt idx="63">
                  <c:v>Abr - Jun 2015</c:v>
                </c:pt>
                <c:pt idx="64">
                  <c:v>May - Jul 2015</c:v>
                </c:pt>
                <c:pt idx="65">
                  <c:v>Jun - Ago 2015</c:v>
                </c:pt>
                <c:pt idx="66">
                  <c:v>Jul - Sep 2015</c:v>
                </c:pt>
                <c:pt idx="67">
                  <c:v>Ago - Oct 2015</c:v>
                </c:pt>
                <c:pt idx="68">
                  <c:v>Sep - Nov 2015</c:v>
                </c:pt>
                <c:pt idx="69">
                  <c:v>Oct - Dic 2015</c:v>
                </c:pt>
                <c:pt idx="70">
                  <c:v>Nov 2015 - Ene 2016</c:v>
                </c:pt>
                <c:pt idx="71">
                  <c:v>Dic 2015 - Feb 2016</c:v>
                </c:pt>
                <c:pt idx="72">
                  <c:v>Ene - Mar 2016</c:v>
                </c:pt>
                <c:pt idx="73">
                  <c:v>Feb - Abr 2016</c:v>
                </c:pt>
              </c:strCache>
            </c:strRef>
          </c:cat>
          <c:val>
            <c:numRef>
              <c:f>Hoja3!$B$18:$BW$18</c:f>
              <c:numCache>
                <c:formatCode>0%</c:formatCode>
                <c:ptCount val="74"/>
                <c:pt idx="0">
                  <c:v>0.77461513182840824</c:v>
                </c:pt>
                <c:pt idx="1">
                  <c:v>0.76237981177589775</c:v>
                </c:pt>
                <c:pt idx="2">
                  <c:v>0.75496368665662639</c:v>
                </c:pt>
                <c:pt idx="3">
                  <c:v>0.735277178733726</c:v>
                </c:pt>
                <c:pt idx="4">
                  <c:v>0.73933192230225653</c:v>
                </c:pt>
                <c:pt idx="5">
                  <c:v>0.72673024249387319</c:v>
                </c:pt>
                <c:pt idx="6">
                  <c:v>0.7157374404227822</c:v>
                </c:pt>
                <c:pt idx="7">
                  <c:v>0.71926903682696985</c:v>
                </c:pt>
                <c:pt idx="8">
                  <c:v>0.73789342682270909</c:v>
                </c:pt>
                <c:pt idx="9">
                  <c:v>0.75916365305777267</c:v>
                </c:pt>
                <c:pt idx="10">
                  <c:v>0.73099199864982012</c:v>
                </c:pt>
                <c:pt idx="11">
                  <c:v>0.71765305036561822</c:v>
                </c:pt>
                <c:pt idx="12">
                  <c:v>0.69594675412366158</c:v>
                </c:pt>
                <c:pt idx="13">
                  <c:v>0.68975529317085293</c:v>
                </c:pt>
                <c:pt idx="14">
                  <c:v>0.69583791285930896</c:v>
                </c:pt>
                <c:pt idx="15">
                  <c:v>0.70249280269604419</c:v>
                </c:pt>
                <c:pt idx="16">
                  <c:v>0.72629114598014344</c:v>
                </c:pt>
                <c:pt idx="17">
                  <c:v>0.72699406660095478</c:v>
                </c:pt>
                <c:pt idx="18">
                  <c:v>0.72002021737536803</c:v>
                </c:pt>
                <c:pt idx="19">
                  <c:v>0.7340647484867957</c:v>
                </c:pt>
                <c:pt idx="20">
                  <c:v>0.73280611769094472</c:v>
                </c:pt>
                <c:pt idx="21">
                  <c:v>0.74361125547553641</c:v>
                </c:pt>
                <c:pt idx="22">
                  <c:v>0.73698404618267288</c:v>
                </c:pt>
                <c:pt idx="23">
                  <c:v>0.73823589325728256</c:v>
                </c:pt>
                <c:pt idx="24">
                  <c:v>0.75427200249895288</c:v>
                </c:pt>
                <c:pt idx="25">
                  <c:v>0.75232355906104953</c:v>
                </c:pt>
                <c:pt idx="26">
                  <c:v>0.76855970882200009</c:v>
                </c:pt>
                <c:pt idx="27">
                  <c:v>0.75168216864065907</c:v>
                </c:pt>
                <c:pt idx="28">
                  <c:v>0.74963153826333417</c:v>
                </c:pt>
                <c:pt idx="29">
                  <c:v>0.72784567094458208</c:v>
                </c:pt>
                <c:pt idx="30">
                  <c:v>0.73416631958906009</c:v>
                </c:pt>
                <c:pt idx="31">
                  <c:v>0.75</c:v>
                </c:pt>
                <c:pt idx="32">
                  <c:v>0.75128093728344347</c:v>
                </c:pt>
                <c:pt idx="33">
                  <c:v>0.74577125830850333</c:v>
                </c:pt>
                <c:pt idx="34">
                  <c:v>0.74302074013826758</c:v>
                </c:pt>
                <c:pt idx="35">
                  <c:v>0.73404396773335701</c:v>
                </c:pt>
                <c:pt idx="36">
                  <c:v>0.72234228739625039</c:v>
                </c:pt>
                <c:pt idx="37">
                  <c:v>0.71859375841214579</c:v>
                </c:pt>
                <c:pt idx="38">
                  <c:v>0.71456069589238358</c:v>
                </c:pt>
                <c:pt idx="39">
                  <c:v>0.71854860328220416</c:v>
                </c:pt>
                <c:pt idx="40">
                  <c:v>0.7300898756367834</c:v>
                </c:pt>
                <c:pt idx="41">
                  <c:v>0.71621165661232256</c:v>
                </c:pt>
                <c:pt idx="42">
                  <c:v>0.6767395419234159</c:v>
                </c:pt>
                <c:pt idx="43">
                  <c:v>0.67783288141754428</c:v>
                </c:pt>
                <c:pt idx="44">
                  <c:v>0.70198817410506742</c:v>
                </c:pt>
                <c:pt idx="45">
                  <c:v>0.73097907790236349</c:v>
                </c:pt>
                <c:pt idx="46">
                  <c:v>0.70524779123303349</c:v>
                </c:pt>
                <c:pt idx="47">
                  <c:v>0.69226817274725738</c:v>
                </c:pt>
                <c:pt idx="48">
                  <c:v>0.68924294462286562</c:v>
                </c:pt>
                <c:pt idx="49">
                  <c:v>0.7021979921356245</c:v>
                </c:pt>
                <c:pt idx="50">
                  <c:v>0.71587250421888926</c:v>
                </c:pt>
                <c:pt idx="51">
                  <c:v>0.72911983331897323</c:v>
                </c:pt>
                <c:pt idx="52">
                  <c:v>0.70601113428624007</c:v>
                </c:pt>
                <c:pt idx="53">
                  <c:v>0.7096202868179472</c:v>
                </c:pt>
                <c:pt idx="54">
                  <c:v>0.70093533866792712</c:v>
                </c:pt>
                <c:pt idx="55">
                  <c:v>0.69926862036511506</c:v>
                </c:pt>
                <c:pt idx="56">
                  <c:v>0.72129724366725578</c:v>
                </c:pt>
                <c:pt idx="57">
                  <c:v>0.73395192813978705</c:v>
                </c:pt>
                <c:pt idx="58">
                  <c:v>0.75273872178576295</c:v>
                </c:pt>
                <c:pt idx="59">
                  <c:v>0.72312573368444433</c:v>
                </c:pt>
                <c:pt idx="60">
                  <c:v>0.72356854283647165</c:v>
                </c:pt>
                <c:pt idx="61">
                  <c:v>0.72613045600548887</c:v>
                </c:pt>
                <c:pt idx="62">
                  <c:v>0.7426471625950859</c:v>
                </c:pt>
                <c:pt idx="63">
                  <c:v>0.73748546490762146</c:v>
                </c:pt>
                <c:pt idx="64">
                  <c:v>0.71222461665115866</c:v>
                </c:pt>
                <c:pt idx="65">
                  <c:v>0.69405057135071935</c:v>
                </c:pt>
                <c:pt idx="66">
                  <c:v>0.69410492470309626</c:v>
                </c:pt>
                <c:pt idx="67">
                  <c:v>0.70428651166310852</c:v>
                </c:pt>
                <c:pt idx="68">
                  <c:v>0.68691957874581144</c:v>
                </c:pt>
                <c:pt idx="69">
                  <c:v>0.69583145493342946</c:v>
                </c:pt>
                <c:pt idx="70">
                  <c:v>0.69810587578775762</c:v>
                </c:pt>
                <c:pt idx="71">
                  <c:v>0.72445841571483438</c:v>
                </c:pt>
                <c:pt idx="72">
                  <c:v>0.69879369532519264</c:v>
                </c:pt>
                <c:pt idx="73">
                  <c:v>0.69390745725431957</c:v>
                </c:pt>
              </c:numCache>
            </c:numRef>
          </c:val>
          <c:smooth val="0"/>
        </c:ser>
        <c:dLbls>
          <c:showLegendKey val="0"/>
          <c:showVal val="0"/>
          <c:showCatName val="0"/>
          <c:showSerName val="0"/>
          <c:showPercent val="0"/>
          <c:showBubbleSize val="0"/>
        </c:dLbls>
        <c:smooth val="0"/>
        <c:axId val="400835512"/>
        <c:axId val="400835904"/>
      </c:lineChart>
      <c:catAx>
        <c:axId val="400835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400835904"/>
        <c:crosses val="autoZero"/>
        <c:auto val="1"/>
        <c:lblAlgn val="ctr"/>
        <c:lblOffset val="100"/>
        <c:noMultiLvlLbl val="0"/>
      </c:catAx>
      <c:valAx>
        <c:axId val="4008359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400835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C4F83-8710-42EF-97F3-CAD625AA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681</Words>
  <Characters>3751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Subsecretaria de Economia</Company>
  <LinksUpToDate>false</LinksUpToDate>
  <CharactersWithSpaces>4424</CharactersWithSpaces>
  <SharedDoc>false</SharedDoc>
  <HLinks>
    <vt:vector size="6" baseType="variant">
      <vt:variant>
        <vt:i4>4718681</vt:i4>
      </vt:variant>
      <vt:variant>
        <vt:i4>0</vt:i4>
      </vt:variant>
      <vt:variant>
        <vt:i4>0</vt:i4>
      </vt:variant>
      <vt:variant>
        <vt:i4>5</vt:i4>
      </vt:variant>
      <vt:variant>
        <vt:lpwstr>http://www.subturismo.gob.cl/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Vania Retamales</dc:creator>
  <cp:keywords/>
  <cp:lastModifiedBy>Verónica Ilse Kunze Neubauer</cp:lastModifiedBy>
  <cp:revision>2</cp:revision>
  <cp:lastPrinted>2016-05-30T19:56:00Z</cp:lastPrinted>
  <dcterms:created xsi:type="dcterms:W3CDTF">2016-09-07T13:41:00Z</dcterms:created>
  <dcterms:modified xsi:type="dcterms:W3CDTF">2016-09-07T13:41:00Z</dcterms:modified>
</cp:coreProperties>
</file>