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92CA" w14:textId="31CC5056" w:rsidR="00865056" w:rsidRDefault="00865056" w:rsidP="00865056">
      <w:pPr>
        <w:spacing w:after="0"/>
        <w:jc w:val="center"/>
        <w:rPr>
          <w:b/>
        </w:rPr>
      </w:pPr>
      <w:r w:rsidRPr="00865056">
        <w:rPr>
          <w:b/>
        </w:rPr>
        <w:t>MINUTA</w:t>
      </w:r>
    </w:p>
    <w:p w14:paraId="427F1A95" w14:textId="350940B1" w:rsidR="00DF3BB1" w:rsidRDefault="00072C66" w:rsidP="00865056">
      <w:pPr>
        <w:spacing w:after="0"/>
        <w:jc w:val="center"/>
        <w:rPr>
          <w:b/>
        </w:rPr>
      </w:pPr>
      <w:r>
        <w:rPr>
          <w:b/>
        </w:rPr>
        <w:t>Inversión Privada en Turismo</w:t>
      </w:r>
    </w:p>
    <w:p w14:paraId="655DB953" w14:textId="77777777" w:rsidR="00343715" w:rsidRDefault="00343715" w:rsidP="00343715">
      <w:pPr>
        <w:spacing w:after="0"/>
        <w:jc w:val="both"/>
        <w:rPr>
          <w:b/>
        </w:rPr>
      </w:pPr>
    </w:p>
    <w:p w14:paraId="08B34CCA" w14:textId="77777777" w:rsidR="00343715" w:rsidRDefault="00343715" w:rsidP="00343715">
      <w:pPr>
        <w:pStyle w:val="Default"/>
      </w:pPr>
    </w:p>
    <w:p w14:paraId="327B0199" w14:textId="53F18D26" w:rsidR="00343715" w:rsidRPr="00072C66" w:rsidRDefault="00343715" w:rsidP="00343715">
      <w:pPr>
        <w:spacing w:after="0"/>
        <w:jc w:val="both"/>
        <w:rPr>
          <w:bCs/>
          <w:sz w:val="23"/>
          <w:szCs w:val="23"/>
        </w:rPr>
      </w:pPr>
      <w:r w:rsidRPr="00072C66">
        <w:rPr>
          <w:bCs/>
          <w:sz w:val="23"/>
          <w:szCs w:val="23"/>
        </w:rPr>
        <w:t>El objetivo general de esta investigación fue identificar, registrar y cuantificar de la forma más completa posible la inversión privada en activos específicos del turismo realizados, en ejecución o en estudio, financiada con capitales nacionales, extranjeros o mixtos en el período segundo semestre de 2013 al primer semestre del 2016, y para el próximo quinquenio 2016-2020, en todas las A</w:t>
      </w:r>
      <w:r w:rsidR="00072C66">
        <w:rPr>
          <w:bCs/>
          <w:sz w:val="23"/>
          <w:szCs w:val="23"/>
        </w:rPr>
        <w:t xml:space="preserve">ctividades Características del </w:t>
      </w:r>
      <w:r w:rsidRPr="00072C66">
        <w:rPr>
          <w:bCs/>
          <w:sz w:val="23"/>
          <w:szCs w:val="23"/>
        </w:rPr>
        <w:t>T</w:t>
      </w:r>
      <w:r w:rsidR="00072C66">
        <w:rPr>
          <w:bCs/>
          <w:sz w:val="23"/>
          <w:szCs w:val="23"/>
        </w:rPr>
        <w:t>urismo (ACT)</w:t>
      </w:r>
      <w:r w:rsidRPr="00072C66">
        <w:rPr>
          <w:bCs/>
          <w:sz w:val="23"/>
          <w:szCs w:val="23"/>
        </w:rPr>
        <w:t>.</w:t>
      </w:r>
    </w:p>
    <w:p w14:paraId="40697177" w14:textId="77777777" w:rsidR="00343715" w:rsidRPr="00072C66" w:rsidRDefault="00343715" w:rsidP="00343715">
      <w:pPr>
        <w:pStyle w:val="Default"/>
        <w:rPr>
          <w:color w:val="auto"/>
        </w:rPr>
      </w:pPr>
    </w:p>
    <w:p w14:paraId="6A5F9615" w14:textId="74C0E037" w:rsidR="00343715" w:rsidRPr="00072C66" w:rsidRDefault="00072C66" w:rsidP="00343715">
      <w:pPr>
        <w:spacing w:after="0"/>
        <w:jc w:val="both"/>
        <w:rPr>
          <w:bCs/>
          <w:sz w:val="23"/>
          <w:szCs w:val="23"/>
        </w:rPr>
      </w:pPr>
      <w:r>
        <w:rPr>
          <w:bCs/>
          <w:sz w:val="23"/>
          <w:szCs w:val="23"/>
        </w:rPr>
        <w:t>L</w:t>
      </w:r>
      <w:r w:rsidR="00343715" w:rsidRPr="00072C66">
        <w:rPr>
          <w:bCs/>
          <w:sz w:val="23"/>
          <w:szCs w:val="23"/>
        </w:rPr>
        <w:t>a inversión corresponde a la edificación y/o compra de bienes nuevos, compras de bienes usados y las reformas y mejoras al activo fijo efectuadas en el periodo para las ACT.</w:t>
      </w:r>
    </w:p>
    <w:p w14:paraId="01CE263B" w14:textId="77777777" w:rsidR="00343715" w:rsidRPr="00072C66" w:rsidRDefault="00343715" w:rsidP="00343715">
      <w:pPr>
        <w:pStyle w:val="Default"/>
        <w:rPr>
          <w:color w:val="auto"/>
        </w:rPr>
      </w:pPr>
    </w:p>
    <w:p w14:paraId="6E06CA47" w14:textId="3F9A6E16" w:rsidR="00343715" w:rsidRPr="00072C66" w:rsidRDefault="00343715" w:rsidP="00343715">
      <w:pPr>
        <w:spacing w:after="0"/>
        <w:jc w:val="both"/>
        <w:rPr>
          <w:sz w:val="23"/>
          <w:szCs w:val="23"/>
        </w:rPr>
      </w:pPr>
      <w:r w:rsidRPr="00072C66">
        <w:rPr>
          <w:sz w:val="23"/>
          <w:szCs w:val="23"/>
        </w:rPr>
        <w:t>La inversión total de cada proyecto debe ser de un mínimo de US$</w:t>
      </w:r>
      <w:r w:rsidR="008520F5">
        <w:rPr>
          <w:sz w:val="23"/>
          <w:szCs w:val="23"/>
        </w:rPr>
        <w:t xml:space="preserve"> 500.000.</w:t>
      </w:r>
    </w:p>
    <w:p w14:paraId="18CDD253" w14:textId="77777777" w:rsidR="00343715" w:rsidRPr="00072C66" w:rsidRDefault="00343715" w:rsidP="00343715">
      <w:pPr>
        <w:spacing w:after="0"/>
        <w:jc w:val="both"/>
        <w:rPr>
          <w:sz w:val="23"/>
          <w:szCs w:val="23"/>
        </w:rPr>
      </w:pPr>
    </w:p>
    <w:p w14:paraId="51F445B1" w14:textId="0FB0D0D2" w:rsidR="00D23F3E" w:rsidRPr="00072C66" w:rsidRDefault="00D23F3E" w:rsidP="00D23F3E">
      <w:pPr>
        <w:spacing w:after="0"/>
        <w:jc w:val="both"/>
        <w:rPr>
          <w:sz w:val="23"/>
          <w:szCs w:val="23"/>
        </w:rPr>
      </w:pPr>
      <w:r w:rsidRPr="00072C66">
        <w:rPr>
          <w:sz w:val="23"/>
          <w:szCs w:val="23"/>
          <w:lang w:val="es-ES"/>
        </w:rPr>
        <w:t xml:space="preserve">El estudio realizado por CBC encontró una cantidad de </w:t>
      </w:r>
      <w:r w:rsidRPr="00072C66">
        <w:rPr>
          <w:bCs/>
          <w:sz w:val="23"/>
          <w:szCs w:val="23"/>
          <w:lang w:val="es-ES"/>
        </w:rPr>
        <w:t>210</w:t>
      </w:r>
      <w:r w:rsidRPr="00072C66">
        <w:rPr>
          <w:sz w:val="23"/>
          <w:szCs w:val="23"/>
          <w:lang w:val="es-ES"/>
        </w:rPr>
        <w:t xml:space="preserve"> proyectos de ACT en el periodo 2013 a 2020, con un </w:t>
      </w:r>
      <w:proofErr w:type="spellStart"/>
      <w:r w:rsidRPr="00072C66">
        <w:rPr>
          <w:sz w:val="23"/>
          <w:szCs w:val="23"/>
          <w:lang w:val="es-ES"/>
        </w:rPr>
        <w:t>peak</w:t>
      </w:r>
      <w:proofErr w:type="spellEnd"/>
      <w:r w:rsidRPr="00072C66">
        <w:rPr>
          <w:sz w:val="23"/>
          <w:szCs w:val="23"/>
          <w:lang w:val="es-ES"/>
        </w:rPr>
        <w:t xml:space="preserve"> de inversiones en el año 2017. El total de la inversión encontrada suma </w:t>
      </w:r>
      <w:r w:rsidRPr="00072C66">
        <w:rPr>
          <w:bCs/>
          <w:sz w:val="23"/>
          <w:szCs w:val="23"/>
          <w:lang w:val="es-ES"/>
        </w:rPr>
        <w:t>MM</w:t>
      </w:r>
      <w:r w:rsidR="008520F5">
        <w:rPr>
          <w:bCs/>
          <w:sz w:val="23"/>
          <w:szCs w:val="23"/>
          <w:lang w:val="es-ES"/>
        </w:rPr>
        <w:t xml:space="preserve"> </w:t>
      </w:r>
      <w:r w:rsidRPr="00072C66">
        <w:rPr>
          <w:bCs/>
          <w:sz w:val="23"/>
          <w:szCs w:val="23"/>
          <w:lang w:val="es-ES"/>
        </w:rPr>
        <w:t>US</w:t>
      </w:r>
      <w:r w:rsidR="008520F5">
        <w:rPr>
          <w:bCs/>
          <w:sz w:val="23"/>
          <w:szCs w:val="23"/>
          <w:lang w:val="es-ES"/>
        </w:rPr>
        <w:t>$</w:t>
      </w:r>
      <w:r w:rsidRPr="00072C66">
        <w:rPr>
          <w:bCs/>
          <w:sz w:val="23"/>
          <w:szCs w:val="23"/>
          <w:lang w:val="es-ES"/>
        </w:rPr>
        <w:t xml:space="preserve"> 3.081</w:t>
      </w:r>
      <w:r w:rsidRPr="00072C66">
        <w:rPr>
          <w:sz w:val="23"/>
          <w:szCs w:val="23"/>
          <w:lang w:val="es-ES"/>
        </w:rPr>
        <w:t xml:space="preserve"> en todo el periodo.</w:t>
      </w:r>
    </w:p>
    <w:p w14:paraId="3B54E8C9" w14:textId="77777777" w:rsidR="00D23F3E" w:rsidRDefault="00D23F3E" w:rsidP="00343715">
      <w:pPr>
        <w:spacing w:after="0"/>
        <w:jc w:val="both"/>
        <w:rPr>
          <w:color w:val="0000CC"/>
          <w:sz w:val="23"/>
          <w:szCs w:val="23"/>
        </w:rPr>
      </w:pPr>
    </w:p>
    <w:p w14:paraId="0125233A" w14:textId="2D4EB983" w:rsidR="00D23F3E" w:rsidRDefault="00D23F3E" w:rsidP="00343715">
      <w:pPr>
        <w:spacing w:after="0"/>
        <w:jc w:val="both"/>
        <w:rPr>
          <w:color w:val="0000CC"/>
          <w:sz w:val="23"/>
          <w:szCs w:val="23"/>
        </w:rPr>
      </w:pPr>
      <w:r>
        <w:rPr>
          <w:noProof/>
          <w:lang w:eastAsia="es-CL"/>
        </w:rPr>
        <w:drawing>
          <wp:inline distT="0" distB="0" distL="0" distR="0" wp14:anchorId="402FAC29" wp14:editId="522FA678">
            <wp:extent cx="5613400" cy="3274695"/>
            <wp:effectExtent l="0" t="0" r="6350" b="1905"/>
            <wp:docPr id="6"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8" cstate="print"/>
                    <a:srcRect/>
                    <a:stretch>
                      <a:fillRect/>
                    </a:stretch>
                  </pic:blipFill>
                  <pic:spPr bwMode="auto">
                    <a:xfrm>
                      <a:off x="0" y="0"/>
                      <a:ext cx="5613400" cy="3274695"/>
                    </a:xfrm>
                    <a:prstGeom prst="rect">
                      <a:avLst/>
                    </a:prstGeom>
                    <a:noFill/>
                    <a:ln w="9525">
                      <a:noFill/>
                      <a:miter lim="800000"/>
                      <a:headEnd/>
                      <a:tailEnd/>
                    </a:ln>
                  </pic:spPr>
                </pic:pic>
              </a:graphicData>
            </a:graphic>
          </wp:inline>
        </w:drawing>
      </w:r>
    </w:p>
    <w:p w14:paraId="08C5116F" w14:textId="77777777" w:rsidR="00D23F3E" w:rsidRDefault="00D23F3E" w:rsidP="00343715">
      <w:pPr>
        <w:spacing w:after="0"/>
        <w:jc w:val="both"/>
        <w:rPr>
          <w:color w:val="0000CC"/>
          <w:sz w:val="23"/>
          <w:szCs w:val="23"/>
        </w:rPr>
      </w:pPr>
    </w:p>
    <w:p w14:paraId="611D47B6" w14:textId="77777777" w:rsidR="00D23F3E" w:rsidRDefault="00D23F3E" w:rsidP="00343715">
      <w:pPr>
        <w:spacing w:after="0"/>
        <w:jc w:val="both"/>
        <w:rPr>
          <w:color w:val="0000CC"/>
          <w:sz w:val="23"/>
          <w:szCs w:val="23"/>
        </w:rPr>
      </w:pPr>
    </w:p>
    <w:p w14:paraId="15C109F1" w14:textId="77777777" w:rsidR="008520F5" w:rsidRDefault="008520F5">
      <w:pPr>
        <w:spacing w:after="0" w:line="240" w:lineRule="auto"/>
        <w:rPr>
          <w:rFonts w:asciiTheme="minorHAnsi" w:hAnsiTheme="minorHAnsi" w:cs="Arial"/>
          <w:b/>
          <w:color w:val="000000"/>
          <w:sz w:val="24"/>
          <w:szCs w:val="24"/>
          <w:lang w:eastAsia="es-CL"/>
        </w:rPr>
      </w:pPr>
      <w:r>
        <w:rPr>
          <w:rFonts w:asciiTheme="minorHAnsi" w:hAnsiTheme="minorHAnsi"/>
          <w:b/>
        </w:rPr>
        <w:br w:type="page"/>
      </w:r>
    </w:p>
    <w:p w14:paraId="1787ECAB" w14:textId="0C939B7F" w:rsidR="00343715" w:rsidRDefault="00CA49B5" w:rsidP="00343715">
      <w:pPr>
        <w:pStyle w:val="Default"/>
        <w:rPr>
          <w:rFonts w:asciiTheme="minorHAnsi" w:hAnsiTheme="minorHAnsi"/>
          <w:b/>
        </w:rPr>
      </w:pPr>
      <w:r w:rsidRPr="008520F5">
        <w:rPr>
          <w:rFonts w:asciiTheme="minorHAnsi" w:hAnsiTheme="minorHAnsi"/>
          <w:b/>
        </w:rPr>
        <w:lastRenderedPageBreak/>
        <w:t>Resultados período 2013 – 2015/2016</w:t>
      </w:r>
    </w:p>
    <w:p w14:paraId="29A71BDF" w14:textId="77777777" w:rsidR="008520F5" w:rsidRPr="008520F5" w:rsidRDefault="008520F5" w:rsidP="00343715">
      <w:pPr>
        <w:pStyle w:val="Default"/>
        <w:rPr>
          <w:rFonts w:asciiTheme="minorHAnsi" w:hAnsiTheme="minorHAnsi"/>
          <w:b/>
        </w:rPr>
      </w:pPr>
    </w:p>
    <w:p w14:paraId="6A6875E6" w14:textId="0AE51222" w:rsidR="00343715" w:rsidRDefault="00343715" w:rsidP="00343715">
      <w:pPr>
        <w:spacing w:after="0"/>
        <w:jc w:val="both"/>
      </w:pPr>
      <w:r>
        <w:t xml:space="preserve">La mayor inversión </w:t>
      </w:r>
      <w:r w:rsidR="00CA49B5">
        <w:t xml:space="preserve">efectiva </w:t>
      </w:r>
      <w:r>
        <w:t xml:space="preserve">se registra el año 2014 con un total de MM US$ 393,5. El 2015, la inversión en turismo fue de MM US$ </w:t>
      </w:r>
      <w:r w:rsidR="00D23F3E">
        <w:t>325,8</w:t>
      </w:r>
      <w:r>
        <w:t xml:space="preserve">. Y el 2016, sumando la inversión del primer semestre MM US$168,7 a lo que estaba planificado </w:t>
      </w:r>
      <w:r w:rsidR="008520F5">
        <w:t xml:space="preserve">para </w:t>
      </w:r>
      <w:r>
        <w:t xml:space="preserve">el segundo semestre, se llega a un total de MM US$ </w:t>
      </w:r>
      <w:r w:rsidR="00CA49B5">
        <w:t>445,</w:t>
      </w:r>
      <w:r w:rsidR="00D23F3E">
        <w:t>2</w:t>
      </w:r>
      <w:r w:rsidR="00CA49B5">
        <w:t xml:space="preserve"> es decir, un 37% más que el 2015, superando la inversión total del 2014.</w:t>
      </w:r>
    </w:p>
    <w:p w14:paraId="3F2A1243" w14:textId="77777777" w:rsidR="00CA49B5" w:rsidRDefault="00CA49B5" w:rsidP="00CA49B5">
      <w:pPr>
        <w:pStyle w:val="Default"/>
      </w:pPr>
    </w:p>
    <w:p w14:paraId="0429C089" w14:textId="2B3311C4" w:rsidR="00CA49B5" w:rsidRPr="008520F5" w:rsidRDefault="00CA49B5" w:rsidP="00CA49B5">
      <w:pPr>
        <w:spacing w:after="0"/>
        <w:jc w:val="both"/>
      </w:pPr>
      <w:r w:rsidRPr="008520F5">
        <w:t>Las cinco primeras regiones de mayor inversión, son Región Metropolitana, Coquimbo, Valparaíso, Los Lagos y Araucanía, con un total de 859,8 MM US$, que corresponden a un 78% del total de inversión registrada a nivel nacional (1.095,36 MM US$) en el período 2013-2015.</w:t>
      </w:r>
    </w:p>
    <w:p w14:paraId="613D46A5" w14:textId="77777777" w:rsidR="00CA49B5" w:rsidRDefault="00CA49B5" w:rsidP="00CA49B5">
      <w:pPr>
        <w:spacing w:after="0"/>
        <w:jc w:val="both"/>
      </w:pPr>
    </w:p>
    <w:p w14:paraId="06CC1BDC" w14:textId="66E4357A" w:rsidR="00CA49B5" w:rsidRDefault="00CA49B5" w:rsidP="00CA49B5">
      <w:pPr>
        <w:spacing w:after="0"/>
        <w:jc w:val="both"/>
      </w:pPr>
      <w:r>
        <w:t>Las 5 principales Regiones, son equivalentes al 75% del total catastrado, destacando la Región Metropolitana con 62 proyectos en el período 2013-2015, equivalentes a un 32%.</w:t>
      </w:r>
      <w:r w:rsidR="008520F5">
        <w:t xml:space="preserve"> En segundo lugar se encuentra la Región de Coquimbo, seguida por la Región de Valparaíso, Los Lagos y la Araucanía.</w:t>
      </w:r>
    </w:p>
    <w:p w14:paraId="512BE8C6" w14:textId="77777777" w:rsidR="00CA49B5" w:rsidRDefault="00CA49B5" w:rsidP="00CA49B5">
      <w:pPr>
        <w:pStyle w:val="Default"/>
      </w:pPr>
    </w:p>
    <w:p w14:paraId="344EEA87" w14:textId="586C1495" w:rsidR="00CA49B5" w:rsidRDefault="00CA49B5" w:rsidP="00CA49B5">
      <w:pPr>
        <w:spacing w:after="0"/>
        <w:jc w:val="both"/>
      </w:pPr>
      <w:r>
        <w:t>En el período 2013-2015, la categoría Hotel, dentro de las actividades características del turismo, es la que encabeza la lista de proyectos de inversión, con un 36% (</w:t>
      </w:r>
      <w:r w:rsidR="008520F5">
        <w:t xml:space="preserve">MM US$ </w:t>
      </w:r>
      <w:r>
        <w:t xml:space="preserve">397,1) del total nacional, liderando a su vez con 58 proyectos equivalentes al 30 % del total de proyectos, en segundo lugar se encuentra Segunda Vivienda con </w:t>
      </w:r>
      <w:r w:rsidR="008520F5">
        <w:t xml:space="preserve">MM US$ </w:t>
      </w:r>
      <w:r>
        <w:t>312 y 37 iniciativas.</w:t>
      </w:r>
    </w:p>
    <w:p w14:paraId="2B0A8130" w14:textId="447FF696" w:rsidR="00343715" w:rsidRDefault="00343715" w:rsidP="00343715">
      <w:pPr>
        <w:spacing w:after="0"/>
        <w:jc w:val="both"/>
      </w:pPr>
      <w:r>
        <w:t xml:space="preserve"> </w:t>
      </w:r>
    </w:p>
    <w:p w14:paraId="01DC4021" w14:textId="77777777" w:rsidR="00CA49B5" w:rsidRDefault="00CA49B5" w:rsidP="00CA49B5">
      <w:pPr>
        <w:spacing w:after="0"/>
        <w:jc w:val="both"/>
      </w:pPr>
    </w:p>
    <w:p w14:paraId="6241E03C" w14:textId="77777777" w:rsidR="00CA49B5" w:rsidRPr="008520F5" w:rsidRDefault="00CA49B5" w:rsidP="00CA49B5">
      <w:pPr>
        <w:pStyle w:val="Default"/>
        <w:rPr>
          <w:rFonts w:asciiTheme="minorHAnsi" w:hAnsiTheme="minorHAnsi"/>
          <w:b/>
        </w:rPr>
      </w:pPr>
      <w:r w:rsidRPr="008520F5">
        <w:rPr>
          <w:rFonts w:asciiTheme="minorHAnsi" w:hAnsiTheme="minorHAnsi"/>
          <w:b/>
        </w:rPr>
        <w:t>Resultados período 2013 – 2015/2016</w:t>
      </w:r>
    </w:p>
    <w:p w14:paraId="7994F32C" w14:textId="77777777" w:rsidR="00CA49B5" w:rsidRDefault="00CA49B5" w:rsidP="00CA49B5">
      <w:pPr>
        <w:spacing w:after="0"/>
        <w:jc w:val="both"/>
      </w:pPr>
    </w:p>
    <w:p w14:paraId="1439D93C" w14:textId="17A0C52D" w:rsidR="00CA49B5" w:rsidRPr="008520F5" w:rsidRDefault="00CA49B5" w:rsidP="00CA49B5">
      <w:pPr>
        <w:spacing w:after="0"/>
        <w:jc w:val="both"/>
      </w:pPr>
      <w:r w:rsidRPr="008520F5">
        <w:t xml:space="preserve">Para el periodo 2016-2020 se encontraron proyectos con una inversión en el período de </w:t>
      </w:r>
      <w:r w:rsidR="008520F5" w:rsidRPr="008520F5">
        <w:t>MM</w:t>
      </w:r>
      <w:r w:rsidR="008520F5">
        <w:t xml:space="preserve"> </w:t>
      </w:r>
      <w:r w:rsidR="008520F5" w:rsidRPr="008520F5">
        <w:t>US$</w:t>
      </w:r>
      <w:r w:rsidR="008520F5">
        <w:t xml:space="preserve"> </w:t>
      </w:r>
      <w:r w:rsidRPr="008520F5">
        <w:t xml:space="preserve">1.985,81. La mayor inversión se registra el año 2017 con un total de </w:t>
      </w:r>
      <w:r w:rsidR="008520F5" w:rsidRPr="008520F5">
        <w:t>MM US$</w:t>
      </w:r>
      <w:r w:rsidR="008520F5">
        <w:t xml:space="preserve"> </w:t>
      </w:r>
      <w:r w:rsidRPr="008520F5">
        <w:t>561,92, que corresponden a un 28% del total de inversión registrada a nivel nacional (1.985,81 MM US$) en el período 2016-2020.</w:t>
      </w:r>
    </w:p>
    <w:p w14:paraId="6ED3B73A" w14:textId="77777777" w:rsidR="00CA49B5" w:rsidRPr="008520F5" w:rsidRDefault="00CA49B5" w:rsidP="00CA49B5">
      <w:pPr>
        <w:spacing w:after="0"/>
        <w:jc w:val="both"/>
      </w:pPr>
    </w:p>
    <w:p w14:paraId="4B2921A2" w14:textId="6258F919" w:rsidR="00CA49B5" w:rsidRPr="008520F5" w:rsidRDefault="00CA49B5" w:rsidP="00CA49B5">
      <w:pPr>
        <w:spacing w:after="0"/>
        <w:jc w:val="both"/>
      </w:pPr>
      <w:r w:rsidRPr="008520F5">
        <w:t xml:space="preserve">Las cinco primeras Regiones de mayor inversión son: Región Metropolitana, Arica y Parinacota, Coquimbo, Los Lagos y </w:t>
      </w:r>
      <w:proofErr w:type="spellStart"/>
      <w:r w:rsidRPr="008520F5">
        <w:t>Bío</w:t>
      </w:r>
      <w:proofErr w:type="spellEnd"/>
      <w:r w:rsidRPr="008520F5">
        <w:t xml:space="preserve"> </w:t>
      </w:r>
      <w:proofErr w:type="spellStart"/>
      <w:r w:rsidRPr="008520F5">
        <w:t>Bío</w:t>
      </w:r>
      <w:proofErr w:type="spellEnd"/>
      <w:r w:rsidRPr="008520F5">
        <w:t xml:space="preserve">, con un total de </w:t>
      </w:r>
      <w:r w:rsidR="008520F5" w:rsidRPr="008520F5">
        <w:t>MM US$</w:t>
      </w:r>
      <w:r w:rsidR="008520F5">
        <w:t xml:space="preserve"> </w:t>
      </w:r>
      <w:r w:rsidRPr="008520F5">
        <w:t>1.747,8, que corresponden a un 88 % del total de inversión registrada a nivel nacional en el período de análisis (1.985,81 MM US$).</w:t>
      </w:r>
    </w:p>
    <w:p w14:paraId="79D6657B" w14:textId="77777777" w:rsidR="00CA49B5" w:rsidRDefault="00CA49B5" w:rsidP="00CA49B5">
      <w:pPr>
        <w:pStyle w:val="Default"/>
      </w:pPr>
    </w:p>
    <w:p w14:paraId="310019F8" w14:textId="5B540848" w:rsidR="00CA49B5" w:rsidRPr="008520F5" w:rsidRDefault="00CA49B5" w:rsidP="008520F5">
      <w:pPr>
        <w:pStyle w:val="Default"/>
        <w:jc w:val="both"/>
        <w:rPr>
          <w:rFonts w:ascii="Calibri" w:hAnsi="Calibri" w:cs="Times New Roman"/>
          <w:color w:val="auto"/>
          <w:sz w:val="22"/>
          <w:szCs w:val="22"/>
          <w:lang w:eastAsia="en-US"/>
        </w:rPr>
      </w:pPr>
      <w:r w:rsidRPr="008520F5">
        <w:rPr>
          <w:rFonts w:ascii="Calibri" w:hAnsi="Calibri" w:cs="Times New Roman"/>
          <w:color w:val="auto"/>
          <w:sz w:val="22"/>
          <w:szCs w:val="22"/>
          <w:lang w:eastAsia="en-US"/>
        </w:rPr>
        <w:t>La categoría Segunda Vivienda, es la que encabeza la lista con un 40 % (</w:t>
      </w:r>
      <w:r w:rsidR="008520F5" w:rsidRPr="008520F5">
        <w:rPr>
          <w:rFonts w:ascii="Calibri" w:hAnsi="Calibri" w:cs="Times New Roman"/>
          <w:color w:val="auto"/>
          <w:sz w:val="22"/>
          <w:szCs w:val="22"/>
          <w:lang w:eastAsia="en-US"/>
        </w:rPr>
        <w:t>MM US$</w:t>
      </w:r>
      <w:r w:rsidR="008520F5">
        <w:rPr>
          <w:rFonts w:ascii="Calibri" w:hAnsi="Calibri" w:cs="Times New Roman"/>
          <w:color w:val="auto"/>
          <w:sz w:val="22"/>
          <w:szCs w:val="22"/>
          <w:lang w:eastAsia="en-US"/>
        </w:rPr>
        <w:t xml:space="preserve"> </w:t>
      </w:r>
      <w:r w:rsidRPr="008520F5">
        <w:rPr>
          <w:rFonts w:ascii="Calibri" w:hAnsi="Calibri" w:cs="Times New Roman"/>
          <w:color w:val="auto"/>
          <w:sz w:val="22"/>
          <w:szCs w:val="22"/>
          <w:lang w:eastAsia="en-US"/>
        </w:rPr>
        <w:t xml:space="preserve">801) del total nacional, con 32 proyectos equivalentes al 33 % del total de proyectos. </w:t>
      </w:r>
    </w:p>
    <w:p w14:paraId="7404D2BF" w14:textId="77777777" w:rsidR="00D23F3E" w:rsidRPr="008520F5" w:rsidRDefault="00D23F3E" w:rsidP="00D23F3E">
      <w:pPr>
        <w:pStyle w:val="Default"/>
        <w:rPr>
          <w:rFonts w:ascii="Calibri" w:hAnsi="Calibri" w:cs="Times New Roman"/>
          <w:color w:val="auto"/>
          <w:sz w:val="22"/>
          <w:szCs w:val="22"/>
          <w:lang w:eastAsia="en-US"/>
        </w:rPr>
      </w:pPr>
    </w:p>
    <w:p w14:paraId="7815CC24" w14:textId="77777777" w:rsidR="00D23F3E" w:rsidRDefault="00D23F3E" w:rsidP="008520F5">
      <w:pPr>
        <w:pStyle w:val="Default"/>
        <w:jc w:val="both"/>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En el periodo del estudio se deben destacar los siguientes proyectos más importantes por monto de inversión a nivel nacional: </w:t>
      </w:r>
    </w:p>
    <w:p w14:paraId="2F289C8C" w14:textId="77777777" w:rsidR="008520F5" w:rsidRPr="008520F5" w:rsidRDefault="008520F5" w:rsidP="008520F5">
      <w:pPr>
        <w:pStyle w:val="Default"/>
        <w:jc w:val="both"/>
        <w:rPr>
          <w:rFonts w:ascii="Calibri" w:hAnsi="Calibri" w:cs="Times New Roman"/>
          <w:color w:val="auto"/>
          <w:sz w:val="22"/>
          <w:szCs w:val="22"/>
          <w:lang w:eastAsia="en-US"/>
        </w:rPr>
      </w:pPr>
    </w:p>
    <w:p w14:paraId="77456A80" w14:textId="4AE66B3C" w:rsidR="00D23F3E" w:rsidRPr="008520F5" w:rsidRDefault="00D23F3E" w:rsidP="008520F5">
      <w:pPr>
        <w:pStyle w:val="Default"/>
        <w:numPr>
          <w:ilvl w:val="0"/>
          <w:numId w:val="27"/>
        </w:numPr>
        <w:spacing w:after="281"/>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Aeropuerto A.M.B Santiago: US$ 723.000.000, entre 2010 a 2020 </w:t>
      </w:r>
    </w:p>
    <w:p w14:paraId="3D13A038" w14:textId="04ACC972" w:rsidR="00D23F3E" w:rsidRPr="008520F5" w:rsidRDefault="00D23F3E" w:rsidP="008520F5">
      <w:pPr>
        <w:pStyle w:val="Default"/>
        <w:numPr>
          <w:ilvl w:val="0"/>
          <w:numId w:val="27"/>
        </w:numPr>
        <w:spacing w:after="281"/>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Patagonia </w:t>
      </w:r>
      <w:proofErr w:type="spellStart"/>
      <w:r w:rsidRPr="008520F5">
        <w:rPr>
          <w:rFonts w:ascii="Calibri" w:hAnsi="Calibri" w:cs="Times New Roman"/>
          <w:color w:val="auto"/>
          <w:sz w:val="22"/>
          <w:szCs w:val="22"/>
          <w:lang w:eastAsia="en-US"/>
        </w:rPr>
        <w:t>Virgin</w:t>
      </w:r>
      <w:proofErr w:type="spellEnd"/>
      <w:r w:rsidRPr="008520F5">
        <w:rPr>
          <w:rFonts w:ascii="Calibri" w:hAnsi="Calibri" w:cs="Times New Roman"/>
          <w:color w:val="auto"/>
          <w:sz w:val="22"/>
          <w:szCs w:val="22"/>
          <w:lang w:eastAsia="en-US"/>
        </w:rPr>
        <w:t xml:space="preserve"> – Frutillar: US$ 500.000.000 (2011 a 2027) </w:t>
      </w:r>
    </w:p>
    <w:p w14:paraId="34F65797" w14:textId="73B8DC6C" w:rsidR="00D23F3E" w:rsidRPr="008520F5" w:rsidRDefault="00D23F3E" w:rsidP="008520F5">
      <w:pPr>
        <w:pStyle w:val="Default"/>
        <w:numPr>
          <w:ilvl w:val="0"/>
          <w:numId w:val="27"/>
        </w:numPr>
        <w:spacing w:after="281"/>
        <w:rPr>
          <w:rFonts w:ascii="Calibri" w:hAnsi="Calibri" w:cs="Times New Roman"/>
          <w:color w:val="auto"/>
          <w:sz w:val="22"/>
          <w:szCs w:val="22"/>
          <w:lang w:eastAsia="en-US"/>
        </w:rPr>
      </w:pPr>
      <w:r w:rsidRPr="008520F5">
        <w:rPr>
          <w:rFonts w:ascii="Calibri" w:hAnsi="Calibri" w:cs="Times New Roman"/>
          <w:color w:val="auto"/>
          <w:sz w:val="22"/>
          <w:szCs w:val="22"/>
          <w:lang w:eastAsia="en-US"/>
        </w:rPr>
        <w:lastRenderedPageBreak/>
        <w:t xml:space="preserve">La Serena Golf (2da. Vivienda): US$ 342.000.000 entre los años 1997 a 2030 </w:t>
      </w:r>
    </w:p>
    <w:p w14:paraId="698B0E20" w14:textId="15ED1C6A" w:rsidR="00D23F3E" w:rsidRPr="008520F5" w:rsidRDefault="00D23F3E" w:rsidP="008520F5">
      <w:pPr>
        <w:pStyle w:val="Default"/>
        <w:numPr>
          <w:ilvl w:val="0"/>
          <w:numId w:val="27"/>
        </w:numPr>
        <w:spacing w:after="281"/>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Condominio Doña Agustina (2da Vivienda en Arica): US$ 293.375.000, entre 2015 a 2020 </w:t>
      </w:r>
    </w:p>
    <w:p w14:paraId="16A9CC67" w14:textId="4467C7AE" w:rsidR="00D23F3E" w:rsidRPr="008520F5" w:rsidRDefault="00D23F3E" w:rsidP="008520F5">
      <w:pPr>
        <w:pStyle w:val="Default"/>
        <w:numPr>
          <w:ilvl w:val="0"/>
          <w:numId w:val="27"/>
        </w:numPr>
        <w:spacing w:after="281"/>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Puerta del Mar – La Serena (2da. Vivienda): US$ 280.000.000 entre 1994 a 2016 </w:t>
      </w:r>
    </w:p>
    <w:p w14:paraId="0B1338AE" w14:textId="5C642863" w:rsidR="00D23F3E" w:rsidRPr="008520F5" w:rsidRDefault="00D23F3E" w:rsidP="008520F5">
      <w:pPr>
        <w:pStyle w:val="Default"/>
        <w:numPr>
          <w:ilvl w:val="0"/>
          <w:numId w:val="27"/>
        </w:numPr>
        <w:spacing w:after="281"/>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Valle Nevado – R. Metropolitana: US$ 190.000.000 entre 2014 y 2020 </w:t>
      </w:r>
    </w:p>
    <w:p w14:paraId="7B721398" w14:textId="096E576D" w:rsidR="00D23F3E" w:rsidRPr="008520F5" w:rsidRDefault="00D23F3E" w:rsidP="008520F5">
      <w:pPr>
        <w:pStyle w:val="Default"/>
        <w:numPr>
          <w:ilvl w:val="0"/>
          <w:numId w:val="27"/>
        </w:numPr>
        <w:spacing w:after="281"/>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Laguna del Mar – La Serena (2da. Vivienda): US$ 100.000.000 entre 2009 a 2023 </w:t>
      </w:r>
    </w:p>
    <w:p w14:paraId="6266AABF" w14:textId="691CB4EE" w:rsidR="00D23F3E" w:rsidRPr="008520F5" w:rsidRDefault="00D23F3E" w:rsidP="008520F5">
      <w:pPr>
        <w:pStyle w:val="Default"/>
        <w:numPr>
          <w:ilvl w:val="0"/>
          <w:numId w:val="27"/>
        </w:numPr>
        <w:spacing w:after="281"/>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Marina Golf Rapel – R. de O´Higgins: US$ 100.000.000 entre 2012 y 2017 </w:t>
      </w:r>
    </w:p>
    <w:p w14:paraId="17B15D65" w14:textId="0D56017B" w:rsidR="00D23F3E" w:rsidRPr="008520F5" w:rsidRDefault="00D23F3E" w:rsidP="008520F5">
      <w:pPr>
        <w:pStyle w:val="Default"/>
        <w:numPr>
          <w:ilvl w:val="0"/>
          <w:numId w:val="27"/>
        </w:numPr>
        <w:spacing w:after="281"/>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Condominio Bosques de Puerto Pucón: US$ 70.000.000 (2002-2018) </w:t>
      </w:r>
    </w:p>
    <w:p w14:paraId="0A58B6C6" w14:textId="37837831" w:rsidR="00D23F3E" w:rsidRPr="008520F5" w:rsidRDefault="00D23F3E" w:rsidP="008520F5">
      <w:pPr>
        <w:pStyle w:val="Default"/>
        <w:numPr>
          <w:ilvl w:val="0"/>
          <w:numId w:val="27"/>
        </w:numPr>
        <w:spacing w:after="281"/>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Puerto de Coquimbo: US$ 68.763.000 </w:t>
      </w:r>
    </w:p>
    <w:p w14:paraId="08687D8F" w14:textId="49A6C598" w:rsidR="00D23F3E" w:rsidRPr="008520F5" w:rsidRDefault="00D23F3E" w:rsidP="008520F5">
      <w:pPr>
        <w:pStyle w:val="Default"/>
        <w:numPr>
          <w:ilvl w:val="0"/>
          <w:numId w:val="27"/>
        </w:numPr>
        <w:spacing w:after="281"/>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Arica City Center (Casino y Hotel): US$ 50.000.000, entre 2012 y 2017 </w:t>
      </w:r>
    </w:p>
    <w:p w14:paraId="2BA59032" w14:textId="1DF7313C" w:rsidR="00D23F3E" w:rsidRPr="008520F5" w:rsidRDefault="00D23F3E" w:rsidP="008520F5">
      <w:pPr>
        <w:pStyle w:val="Default"/>
        <w:numPr>
          <w:ilvl w:val="0"/>
          <w:numId w:val="27"/>
        </w:numPr>
        <w:rPr>
          <w:rFonts w:ascii="Calibri" w:hAnsi="Calibri" w:cs="Times New Roman"/>
          <w:color w:val="auto"/>
          <w:sz w:val="22"/>
          <w:szCs w:val="22"/>
          <w:lang w:eastAsia="en-US"/>
        </w:rPr>
      </w:pPr>
      <w:r w:rsidRPr="008520F5">
        <w:rPr>
          <w:rFonts w:ascii="Calibri" w:hAnsi="Calibri" w:cs="Times New Roman"/>
          <w:color w:val="auto"/>
          <w:sz w:val="22"/>
          <w:szCs w:val="22"/>
          <w:lang w:eastAsia="en-US"/>
        </w:rPr>
        <w:t xml:space="preserve">Hotel Hyatt Viña del Mar: US$ 33.000.000, entre 2012 y 2018 </w:t>
      </w:r>
    </w:p>
    <w:p w14:paraId="3983D3CD" w14:textId="77777777" w:rsidR="00D23F3E" w:rsidRPr="008520F5" w:rsidRDefault="00D23F3E" w:rsidP="00CA49B5">
      <w:pPr>
        <w:spacing w:after="0"/>
        <w:jc w:val="both"/>
      </w:pPr>
    </w:p>
    <w:p w14:paraId="11611F3D" w14:textId="77777777" w:rsidR="00D23F3E" w:rsidRDefault="00D23F3E" w:rsidP="00CA49B5">
      <w:pPr>
        <w:spacing w:after="0"/>
        <w:jc w:val="both"/>
      </w:pPr>
    </w:p>
    <w:p w14:paraId="249F5DAF" w14:textId="77777777" w:rsidR="0025262F" w:rsidRDefault="0025262F" w:rsidP="0025262F">
      <w:pPr>
        <w:shd w:val="clear" w:color="auto" w:fill="FFFFFF"/>
        <w:spacing w:after="0" w:line="240" w:lineRule="auto"/>
        <w:jc w:val="both"/>
        <w:rPr>
          <w:rFonts w:eastAsia="Times New Roman" w:cstheme="minorHAnsi"/>
          <w:sz w:val="24"/>
          <w:szCs w:val="24"/>
        </w:rPr>
      </w:pPr>
      <w:r>
        <w:rPr>
          <w:rFonts w:eastAsia="Times New Roman" w:cstheme="minorHAnsi"/>
          <w:sz w:val="24"/>
          <w:szCs w:val="24"/>
        </w:rPr>
        <w:t>Ha sido un año intenso en el desarrollo turístico del país, donde la prioridad del gobierno ha sido clara y precisa estamos ejecutando el Plan Nacional de Desarrollo Turístico sustentable que es de donde salen los recursos para realizar este estudio. El turismo hoy es un sector estratégico de la economía y es una prioridad de gobierno y así lo demuestran los resultados de este estudio que demuestra un claro desarrollo de esta industria.</w:t>
      </w:r>
    </w:p>
    <w:p w14:paraId="48DC227F" w14:textId="77777777" w:rsidR="0025262F" w:rsidRDefault="0025262F" w:rsidP="0025262F">
      <w:pPr>
        <w:spacing w:after="0"/>
        <w:jc w:val="both"/>
      </w:pPr>
    </w:p>
    <w:p w14:paraId="10D9C557" w14:textId="3A4A7F06" w:rsidR="0025262F" w:rsidRPr="0025262F" w:rsidRDefault="0025262F" w:rsidP="0025262F">
      <w:pPr>
        <w:spacing w:after="0"/>
        <w:jc w:val="both"/>
        <w:rPr>
          <w:rFonts w:eastAsia="Times New Roman" w:cstheme="minorHAnsi"/>
          <w:sz w:val="24"/>
          <w:szCs w:val="24"/>
        </w:rPr>
      </w:pPr>
      <w:r>
        <w:rPr>
          <w:rFonts w:eastAsia="Times New Roman" w:cstheme="minorHAnsi"/>
          <w:sz w:val="24"/>
          <w:szCs w:val="24"/>
        </w:rPr>
        <w:t>Una iniciativa concreta es “Invierte Turismo” (</w:t>
      </w:r>
      <w:hyperlink r:id="rId9" w:tgtFrame="_blank" w:history="1">
        <w:r w:rsidRPr="0025262F">
          <w:rPr>
            <w:rFonts w:eastAsia="Times New Roman"/>
            <w:sz w:val="24"/>
          </w:rPr>
          <w:t>www.invierteturismo.cl</w:t>
        </w:r>
      </w:hyperlink>
      <w:r>
        <w:rPr>
          <w:rFonts w:eastAsia="Times New Roman" w:cstheme="minorHAnsi"/>
          <w:sz w:val="24"/>
          <w:szCs w:val="24"/>
        </w:rPr>
        <w:t> ), donde en conjunto con Bienes Nacionales, se  promocionan inmuebles para incentivar el desarrollo de proyectos turísticos sustentables en for</w:t>
      </w:r>
      <w:bookmarkStart w:id="0" w:name="_GoBack"/>
      <w:bookmarkEnd w:id="0"/>
      <w:r>
        <w:rPr>
          <w:rFonts w:eastAsia="Times New Roman" w:cstheme="minorHAnsi"/>
          <w:sz w:val="24"/>
          <w:szCs w:val="24"/>
        </w:rPr>
        <w:t>mato de concesión a largo plazo, a lo largo del territorio nacional, a favor de privados para que inviertan y así crear nueva oferta turística.</w:t>
      </w:r>
    </w:p>
    <w:sectPr w:rsidR="0025262F" w:rsidRPr="0025262F" w:rsidSect="00F6134D">
      <w:headerReference w:type="default" r:id="rId10"/>
      <w:footerReference w:type="default" r:id="rId11"/>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5738" w14:textId="77777777" w:rsidR="006B71EF" w:rsidRDefault="006B71EF">
      <w:pPr>
        <w:spacing w:after="0" w:line="240" w:lineRule="auto"/>
      </w:pPr>
      <w:r>
        <w:separator/>
      </w:r>
    </w:p>
  </w:endnote>
  <w:endnote w:type="continuationSeparator" w:id="0">
    <w:p w14:paraId="76D42E1F" w14:textId="77777777" w:rsidR="006B71EF" w:rsidRDefault="006B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14:paraId="4664C9E7" w14:textId="77777777" w:rsidR="003A46B9" w:rsidRDefault="003A46B9">
        <w:pPr>
          <w:pStyle w:val="Piedepgina"/>
          <w:jc w:val="right"/>
        </w:pPr>
        <w:r>
          <w:fldChar w:fldCharType="begin"/>
        </w:r>
        <w:r>
          <w:instrText>PAGE   \* MERGEFORMAT</w:instrText>
        </w:r>
        <w:r>
          <w:fldChar w:fldCharType="separate"/>
        </w:r>
        <w:r w:rsidR="0025262F">
          <w:rPr>
            <w:noProof/>
          </w:rPr>
          <w:t>2</w:t>
        </w:r>
        <w:r>
          <w:fldChar w:fldCharType="end"/>
        </w:r>
      </w:p>
    </w:sdtContent>
  </w:sdt>
  <w:p w14:paraId="23A272F2" w14:textId="77777777"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14:paraId="2A206117" w14:textId="77777777"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14:paraId="37398B85" w14:textId="77777777"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797E" w14:textId="77777777" w:rsidR="006B71EF" w:rsidRDefault="006B71EF">
      <w:pPr>
        <w:spacing w:after="0" w:line="240" w:lineRule="auto"/>
      </w:pPr>
      <w:r>
        <w:separator/>
      </w:r>
    </w:p>
  </w:footnote>
  <w:footnote w:type="continuationSeparator" w:id="0">
    <w:p w14:paraId="0A83C831" w14:textId="77777777" w:rsidR="006B71EF" w:rsidRDefault="006B7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5E7E" w14:textId="77777777"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14:anchorId="2FEFAFDD" wp14:editId="193A82F6">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FE4D5" w14:textId="77777777"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14:anchorId="74BECA64" wp14:editId="566752EA">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CD1F" w14:textId="77777777"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BECA64"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14:paraId="54E4CD1F" w14:textId="77777777" w:rsidR="00F6134D" w:rsidRDefault="00F6134D"/>
                </w:txbxContent>
              </v:textbox>
              <w10:wrap type="square"/>
            </v:shape>
          </w:pict>
        </mc:Fallback>
      </mc:AlternateContent>
    </w:r>
  </w:p>
  <w:p w14:paraId="3A7AB026"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FC46385" w14:textId="77777777"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14:paraId="7C2AA441"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AEC41A2"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249EAC9C" w14:textId="77777777" w:rsidR="00DC6620" w:rsidRDefault="00DC6620" w:rsidP="00DC6620">
    <w:pPr>
      <w:pStyle w:val="Encabezado"/>
      <w:tabs>
        <w:tab w:val="left" w:pos="7655"/>
      </w:tabs>
      <w:ind w:left="-426" w:right="-232"/>
      <w:jc w:val="center"/>
      <w:rPr>
        <w:rFonts w:ascii="Times" w:hAnsi="Times"/>
        <w:i/>
        <w:color w:val="808080"/>
        <w:sz w:val="22"/>
        <w:szCs w:val="22"/>
      </w:rPr>
    </w:pPr>
  </w:p>
  <w:p w14:paraId="76509E75" w14:textId="77777777"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76043F"/>
    <w:multiLevelType w:val="hybridMultilevel"/>
    <w:tmpl w:val="2B5232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06184C"/>
    <w:multiLevelType w:val="hybridMultilevel"/>
    <w:tmpl w:val="FE8CEF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7"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A2A2A39"/>
    <w:multiLevelType w:val="hybridMultilevel"/>
    <w:tmpl w:val="D3A4E1D8"/>
    <w:lvl w:ilvl="0" w:tplc="F06AB89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FEE452B"/>
    <w:multiLevelType w:val="hybridMultilevel"/>
    <w:tmpl w:val="51AEDAC6"/>
    <w:lvl w:ilvl="0" w:tplc="606A3BB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0C26EBE"/>
    <w:multiLevelType w:val="hybridMultilevel"/>
    <w:tmpl w:val="FE8CEF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55C6DDA"/>
    <w:multiLevelType w:val="hybridMultilevel"/>
    <w:tmpl w:val="3970D638"/>
    <w:lvl w:ilvl="0" w:tplc="C3A88BE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B1218CB"/>
    <w:multiLevelType w:val="hybridMultilevel"/>
    <w:tmpl w:val="B1602B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05C0106"/>
    <w:multiLevelType w:val="hybridMultilevel"/>
    <w:tmpl w:val="5282C4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F023718"/>
    <w:multiLevelType w:val="hybridMultilevel"/>
    <w:tmpl w:val="41585A2A"/>
    <w:lvl w:ilvl="0" w:tplc="B2C4817E">
      <w:start w:val="2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4"/>
  </w:num>
  <w:num w:numId="4">
    <w:abstractNumId w:val="10"/>
  </w:num>
  <w:num w:numId="5">
    <w:abstractNumId w:val="21"/>
  </w:num>
  <w:num w:numId="6">
    <w:abstractNumId w:val="5"/>
  </w:num>
  <w:num w:numId="7">
    <w:abstractNumId w:val="19"/>
  </w:num>
  <w:num w:numId="8">
    <w:abstractNumId w:val="7"/>
  </w:num>
  <w:num w:numId="9">
    <w:abstractNumId w:val="25"/>
  </w:num>
  <w:num w:numId="10">
    <w:abstractNumId w:val="15"/>
  </w:num>
  <w:num w:numId="11">
    <w:abstractNumId w:val="17"/>
  </w:num>
  <w:num w:numId="12">
    <w:abstractNumId w:val="0"/>
  </w:num>
  <w:num w:numId="13">
    <w:abstractNumId w:val="8"/>
  </w:num>
  <w:num w:numId="14">
    <w:abstractNumId w:val="9"/>
  </w:num>
  <w:num w:numId="15">
    <w:abstractNumId w:val="2"/>
  </w:num>
  <w:num w:numId="16">
    <w:abstractNumId w:val="24"/>
  </w:num>
  <w:num w:numId="17">
    <w:abstractNumId w:val="6"/>
  </w:num>
  <w:num w:numId="18">
    <w:abstractNumId w:val="20"/>
  </w:num>
  <w:num w:numId="19">
    <w:abstractNumId w:val="11"/>
  </w:num>
  <w:num w:numId="20">
    <w:abstractNumId w:val="14"/>
  </w:num>
  <w:num w:numId="21">
    <w:abstractNumId w:val="26"/>
  </w:num>
  <w:num w:numId="22">
    <w:abstractNumId w:val="18"/>
  </w:num>
  <w:num w:numId="23">
    <w:abstractNumId w:val="12"/>
  </w:num>
  <w:num w:numId="24">
    <w:abstractNumId w:val="16"/>
  </w:num>
  <w:num w:numId="25">
    <w:abstractNumId w:val="3"/>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06632"/>
    <w:rsid w:val="00016EC7"/>
    <w:rsid w:val="0002312C"/>
    <w:rsid w:val="00036E62"/>
    <w:rsid w:val="00072C66"/>
    <w:rsid w:val="00085A76"/>
    <w:rsid w:val="000A65CD"/>
    <w:rsid w:val="000B15EA"/>
    <w:rsid w:val="000B259A"/>
    <w:rsid w:val="000B4DE0"/>
    <w:rsid w:val="000F1E56"/>
    <w:rsid w:val="000F45AC"/>
    <w:rsid w:val="00165961"/>
    <w:rsid w:val="00174FDF"/>
    <w:rsid w:val="001B79C1"/>
    <w:rsid w:val="001C2050"/>
    <w:rsid w:val="001D62C5"/>
    <w:rsid w:val="001E7198"/>
    <w:rsid w:val="001F6247"/>
    <w:rsid w:val="00230C3A"/>
    <w:rsid w:val="00232CBF"/>
    <w:rsid w:val="002331FE"/>
    <w:rsid w:val="0025262F"/>
    <w:rsid w:val="00256C1D"/>
    <w:rsid w:val="0026227B"/>
    <w:rsid w:val="00262C7F"/>
    <w:rsid w:val="00270F2E"/>
    <w:rsid w:val="00271183"/>
    <w:rsid w:val="0029472F"/>
    <w:rsid w:val="002A59EA"/>
    <w:rsid w:val="002F5094"/>
    <w:rsid w:val="00300990"/>
    <w:rsid w:val="003163FC"/>
    <w:rsid w:val="00341545"/>
    <w:rsid w:val="00343715"/>
    <w:rsid w:val="00360486"/>
    <w:rsid w:val="00372508"/>
    <w:rsid w:val="003976BC"/>
    <w:rsid w:val="003A46B9"/>
    <w:rsid w:val="003C02E2"/>
    <w:rsid w:val="003D2757"/>
    <w:rsid w:val="003E3A49"/>
    <w:rsid w:val="003E4C5C"/>
    <w:rsid w:val="003F3F9A"/>
    <w:rsid w:val="00414EA4"/>
    <w:rsid w:val="004162E7"/>
    <w:rsid w:val="004270CC"/>
    <w:rsid w:val="004376D2"/>
    <w:rsid w:val="00440252"/>
    <w:rsid w:val="004469B7"/>
    <w:rsid w:val="00456664"/>
    <w:rsid w:val="004566C0"/>
    <w:rsid w:val="00457B2F"/>
    <w:rsid w:val="00460FFD"/>
    <w:rsid w:val="00461CC6"/>
    <w:rsid w:val="00470D55"/>
    <w:rsid w:val="00477A4C"/>
    <w:rsid w:val="004C7820"/>
    <w:rsid w:val="004F2A11"/>
    <w:rsid w:val="004F3E96"/>
    <w:rsid w:val="005138CE"/>
    <w:rsid w:val="0051590F"/>
    <w:rsid w:val="005552BC"/>
    <w:rsid w:val="00597A0E"/>
    <w:rsid w:val="005A3C40"/>
    <w:rsid w:val="005E1B0D"/>
    <w:rsid w:val="005E246D"/>
    <w:rsid w:val="005F2BF9"/>
    <w:rsid w:val="005F4F44"/>
    <w:rsid w:val="00604341"/>
    <w:rsid w:val="00642DE0"/>
    <w:rsid w:val="00651C6C"/>
    <w:rsid w:val="00683AD2"/>
    <w:rsid w:val="006A3B85"/>
    <w:rsid w:val="006B2F79"/>
    <w:rsid w:val="006B71EF"/>
    <w:rsid w:val="006C3800"/>
    <w:rsid w:val="006D326D"/>
    <w:rsid w:val="006D54F1"/>
    <w:rsid w:val="006D62EF"/>
    <w:rsid w:val="006E5F67"/>
    <w:rsid w:val="00700631"/>
    <w:rsid w:val="00707374"/>
    <w:rsid w:val="00707756"/>
    <w:rsid w:val="0073248B"/>
    <w:rsid w:val="00744685"/>
    <w:rsid w:val="007866AC"/>
    <w:rsid w:val="007B4B76"/>
    <w:rsid w:val="007D4F6D"/>
    <w:rsid w:val="007D6606"/>
    <w:rsid w:val="007F1F4D"/>
    <w:rsid w:val="00821C0D"/>
    <w:rsid w:val="008356B2"/>
    <w:rsid w:val="008520F5"/>
    <w:rsid w:val="00865056"/>
    <w:rsid w:val="00871272"/>
    <w:rsid w:val="008905F2"/>
    <w:rsid w:val="008979E1"/>
    <w:rsid w:val="00950B72"/>
    <w:rsid w:val="0097196E"/>
    <w:rsid w:val="00974E60"/>
    <w:rsid w:val="0098733E"/>
    <w:rsid w:val="009A324B"/>
    <w:rsid w:val="009A7CC9"/>
    <w:rsid w:val="009C03CE"/>
    <w:rsid w:val="009E5C95"/>
    <w:rsid w:val="009F5130"/>
    <w:rsid w:val="00A212B0"/>
    <w:rsid w:val="00A24139"/>
    <w:rsid w:val="00A27FF6"/>
    <w:rsid w:val="00A40C0B"/>
    <w:rsid w:val="00A63E28"/>
    <w:rsid w:val="00A92C7A"/>
    <w:rsid w:val="00AA3E58"/>
    <w:rsid w:val="00B36CFD"/>
    <w:rsid w:val="00B474E9"/>
    <w:rsid w:val="00B517B6"/>
    <w:rsid w:val="00B74E6E"/>
    <w:rsid w:val="00B87FE3"/>
    <w:rsid w:val="00B961FB"/>
    <w:rsid w:val="00BA71F5"/>
    <w:rsid w:val="00BE19BD"/>
    <w:rsid w:val="00BF134F"/>
    <w:rsid w:val="00C33635"/>
    <w:rsid w:val="00C44237"/>
    <w:rsid w:val="00C508AC"/>
    <w:rsid w:val="00C75BD3"/>
    <w:rsid w:val="00CA49B5"/>
    <w:rsid w:val="00CB6557"/>
    <w:rsid w:val="00CD7953"/>
    <w:rsid w:val="00CE1D10"/>
    <w:rsid w:val="00CF500C"/>
    <w:rsid w:val="00CF5AD8"/>
    <w:rsid w:val="00D23F3E"/>
    <w:rsid w:val="00D270CE"/>
    <w:rsid w:val="00D441C3"/>
    <w:rsid w:val="00D46F3A"/>
    <w:rsid w:val="00D75E9B"/>
    <w:rsid w:val="00D80876"/>
    <w:rsid w:val="00DC6620"/>
    <w:rsid w:val="00DC7AD8"/>
    <w:rsid w:val="00DD1D1A"/>
    <w:rsid w:val="00DE45C0"/>
    <w:rsid w:val="00DE6B35"/>
    <w:rsid w:val="00DF3BB1"/>
    <w:rsid w:val="00E00D47"/>
    <w:rsid w:val="00E200F4"/>
    <w:rsid w:val="00E327A9"/>
    <w:rsid w:val="00E41019"/>
    <w:rsid w:val="00E53B3E"/>
    <w:rsid w:val="00E5612F"/>
    <w:rsid w:val="00E73BAD"/>
    <w:rsid w:val="00E95F72"/>
    <w:rsid w:val="00E96EEC"/>
    <w:rsid w:val="00E97A0C"/>
    <w:rsid w:val="00EA0A36"/>
    <w:rsid w:val="00EC5210"/>
    <w:rsid w:val="00ED51B7"/>
    <w:rsid w:val="00EF6DAE"/>
    <w:rsid w:val="00EF713B"/>
    <w:rsid w:val="00F526A4"/>
    <w:rsid w:val="00F603A4"/>
    <w:rsid w:val="00F6134D"/>
    <w:rsid w:val="00F714A2"/>
    <w:rsid w:val="00F87873"/>
    <w:rsid w:val="00FB4884"/>
    <w:rsid w:val="00FF6C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D66A"/>
  <w15:docId w15:val="{A17AB465-8301-4250-B7EB-43CB19DC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aliases w:val="Footnote Text Char,fn,Footnote,text"/>
    <w:basedOn w:val="Normal"/>
    <w:link w:val="TextonotapieCar"/>
    <w:uiPriority w:val="99"/>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har Car,fn Car,Footnote Car,text Car"/>
    <w:basedOn w:val="Fuentedeprrafopredeter"/>
    <w:link w:val="Textonotapie"/>
    <w:uiPriority w:val="99"/>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 w:type="paragraph" w:styleId="Revisin">
    <w:name w:val="Revision"/>
    <w:hidden/>
    <w:uiPriority w:val="99"/>
    <w:semiHidden/>
    <w:rsid w:val="0029472F"/>
    <w:rPr>
      <w:sz w:val="22"/>
      <w:szCs w:val="22"/>
      <w:lang w:eastAsia="en-US"/>
    </w:rPr>
  </w:style>
  <w:style w:type="character" w:styleId="Refdecomentario">
    <w:name w:val="annotation reference"/>
    <w:basedOn w:val="Fuentedeprrafopredeter"/>
    <w:uiPriority w:val="99"/>
    <w:semiHidden/>
    <w:unhideWhenUsed/>
    <w:rsid w:val="0029472F"/>
    <w:rPr>
      <w:sz w:val="16"/>
      <w:szCs w:val="16"/>
    </w:rPr>
  </w:style>
  <w:style w:type="paragraph" w:styleId="Textocomentario">
    <w:name w:val="annotation text"/>
    <w:basedOn w:val="Normal"/>
    <w:link w:val="TextocomentarioCar"/>
    <w:uiPriority w:val="99"/>
    <w:semiHidden/>
    <w:unhideWhenUsed/>
    <w:rsid w:val="00294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72F"/>
    <w:rPr>
      <w:lang w:eastAsia="en-US"/>
    </w:rPr>
  </w:style>
  <w:style w:type="paragraph" w:styleId="Asuntodelcomentario">
    <w:name w:val="annotation subject"/>
    <w:basedOn w:val="Textocomentario"/>
    <w:next w:val="Textocomentario"/>
    <w:link w:val="AsuntodelcomentarioCar"/>
    <w:uiPriority w:val="99"/>
    <w:semiHidden/>
    <w:unhideWhenUsed/>
    <w:rsid w:val="0029472F"/>
    <w:rPr>
      <w:b/>
      <w:bCs/>
    </w:rPr>
  </w:style>
  <w:style w:type="character" w:customStyle="1" w:styleId="AsuntodelcomentarioCar">
    <w:name w:val="Asunto del comentario Car"/>
    <w:basedOn w:val="TextocomentarioCar"/>
    <w:link w:val="Asuntodelcomentario"/>
    <w:uiPriority w:val="99"/>
    <w:semiHidden/>
    <w:rsid w:val="0029472F"/>
    <w:rPr>
      <w:b/>
      <w:bCs/>
      <w:lang w:eastAsia="en-US"/>
    </w:rPr>
  </w:style>
  <w:style w:type="paragraph" w:styleId="Textonotaalfinal">
    <w:name w:val="endnote text"/>
    <w:basedOn w:val="Normal"/>
    <w:link w:val="TextonotaalfinalCar"/>
    <w:uiPriority w:val="99"/>
    <w:semiHidden/>
    <w:unhideWhenUsed/>
    <w:rsid w:val="00F878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87873"/>
    <w:rPr>
      <w:lang w:eastAsia="en-US"/>
    </w:rPr>
  </w:style>
  <w:style w:type="character" w:styleId="Refdenotaalfinal">
    <w:name w:val="endnote reference"/>
    <w:basedOn w:val="Fuentedeprrafopredeter"/>
    <w:uiPriority w:val="99"/>
    <w:semiHidden/>
    <w:unhideWhenUsed/>
    <w:rsid w:val="00F87873"/>
    <w:rPr>
      <w:vertAlign w:val="superscript"/>
    </w:rPr>
  </w:style>
  <w:style w:type="paragraph" w:customStyle="1" w:styleId="Default">
    <w:name w:val="Default"/>
    <w:rsid w:val="003437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0360">
      <w:bodyDiv w:val="1"/>
      <w:marLeft w:val="0"/>
      <w:marRight w:val="0"/>
      <w:marTop w:val="0"/>
      <w:marBottom w:val="0"/>
      <w:divBdr>
        <w:top w:val="none" w:sz="0" w:space="0" w:color="auto"/>
        <w:left w:val="none" w:sz="0" w:space="0" w:color="auto"/>
        <w:bottom w:val="none" w:sz="0" w:space="0" w:color="auto"/>
        <w:right w:val="none" w:sz="0" w:space="0" w:color="auto"/>
      </w:divBdr>
    </w:div>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148471462">
      <w:bodyDiv w:val="1"/>
      <w:marLeft w:val="0"/>
      <w:marRight w:val="0"/>
      <w:marTop w:val="0"/>
      <w:marBottom w:val="0"/>
      <w:divBdr>
        <w:top w:val="none" w:sz="0" w:space="0" w:color="auto"/>
        <w:left w:val="none" w:sz="0" w:space="0" w:color="auto"/>
        <w:bottom w:val="none" w:sz="0" w:space="0" w:color="auto"/>
        <w:right w:val="none" w:sz="0" w:space="0" w:color="auto"/>
      </w:divBdr>
    </w:div>
    <w:div w:id="1456023145">
      <w:bodyDiv w:val="1"/>
      <w:marLeft w:val="0"/>
      <w:marRight w:val="0"/>
      <w:marTop w:val="0"/>
      <w:marBottom w:val="0"/>
      <w:divBdr>
        <w:top w:val="none" w:sz="0" w:space="0" w:color="auto"/>
        <w:left w:val="none" w:sz="0" w:space="0" w:color="auto"/>
        <w:bottom w:val="none" w:sz="0" w:space="0" w:color="auto"/>
        <w:right w:val="none" w:sz="0" w:space="0" w:color="auto"/>
      </w:divBdr>
    </w:div>
    <w:div w:id="16665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ierteturismo.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60E4-84D6-4754-A9A3-DD858675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748</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4859</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4</cp:revision>
  <cp:lastPrinted>2016-05-30T19:56:00Z</cp:lastPrinted>
  <dcterms:created xsi:type="dcterms:W3CDTF">2017-03-21T12:00:00Z</dcterms:created>
  <dcterms:modified xsi:type="dcterms:W3CDTF">2017-03-21T14:38:00Z</dcterms:modified>
</cp:coreProperties>
</file>